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352E5" w14:textId="77777777" w:rsidR="003622AB" w:rsidRPr="00CB0CD0" w:rsidRDefault="007E41BB">
      <w:pPr>
        <w:rPr>
          <w:b/>
          <w:sz w:val="28"/>
          <w:szCs w:val="28"/>
        </w:rPr>
      </w:pPr>
      <w:r w:rsidRPr="00CB0CD0">
        <w:rPr>
          <w:b/>
          <w:sz w:val="28"/>
          <w:szCs w:val="28"/>
        </w:rPr>
        <w:t>Юртаев Владимир Иванович</w:t>
      </w:r>
    </w:p>
    <w:p w14:paraId="6FEFD003" w14:textId="77777777" w:rsidR="00CB0CD0" w:rsidRPr="00CB0CD0" w:rsidRDefault="00CB0CD0" w:rsidP="00CB0CD0">
      <w:pPr>
        <w:rPr>
          <w:sz w:val="28"/>
          <w:szCs w:val="28"/>
        </w:rPr>
      </w:pPr>
      <w:r w:rsidRPr="00CB0CD0">
        <w:rPr>
          <w:sz w:val="28"/>
          <w:szCs w:val="28"/>
        </w:rPr>
        <w:t>Профессор, доктор исторических наук, доцент</w:t>
      </w:r>
    </w:p>
    <w:p w14:paraId="5E0C0577" w14:textId="77777777" w:rsidR="007E41BB" w:rsidRPr="00CB0CD0" w:rsidRDefault="007E41BB">
      <w:pPr>
        <w:rPr>
          <w:sz w:val="28"/>
          <w:szCs w:val="28"/>
        </w:rPr>
      </w:pPr>
      <w:r w:rsidRPr="00CB0CD0">
        <w:rPr>
          <w:sz w:val="28"/>
          <w:szCs w:val="28"/>
        </w:rPr>
        <w:t>Российский университет дружбы народов</w:t>
      </w:r>
    </w:p>
    <w:p w14:paraId="0E3A822C" w14:textId="77777777" w:rsidR="007E41BB" w:rsidRDefault="007E41BB"/>
    <w:p w14:paraId="75A08096" w14:textId="77777777" w:rsidR="007E41BB" w:rsidRPr="00113658" w:rsidRDefault="007E41BB" w:rsidP="00113658">
      <w:pPr>
        <w:spacing w:line="360" w:lineRule="auto"/>
        <w:jc w:val="center"/>
        <w:rPr>
          <w:sz w:val="28"/>
          <w:szCs w:val="28"/>
        </w:rPr>
      </w:pPr>
      <w:r w:rsidRPr="00113658">
        <w:rPr>
          <w:sz w:val="28"/>
          <w:szCs w:val="28"/>
        </w:rPr>
        <w:t>Новые форматы дипломатии в Азии (на примере Ирана)</w:t>
      </w:r>
    </w:p>
    <w:p w14:paraId="2971F9F2" w14:textId="77777777" w:rsidR="00AA456A" w:rsidRPr="00113658" w:rsidRDefault="00AA456A" w:rsidP="001136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13658">
        <w:rPr>
          <w:color w:val="000000" w:themeColor="text1"/>
          <w:sz w:val="28"/>
          <w:szCs w:val="28"/>
        </w:rPr>
        <w:t>В.И. Юртаев</w:t>
      </w:r>
    </w:p>
    <w:p w14:paraId="148E91B5" w14:textId="77777777" w:rsidR="00AA456A" w:rsidRPr="00113658" w:rsidRDefault="00AA456A" w:rsidP="0011365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113658">
        <w:rPr>
          <w:i/>
          <w:color w:val="000000" w:themeColor="text1"/>
          <w:sz w:val="28"/>
          <w:szCs w:val="28"/>
        </w:rPr>
        <w:t>Российский университет дружбы народов</w:t>
      </w:r>
    </w:p>
    <w:p w14:paraId="3C788999" w14:textId="77777777" w:rsidR="00AA1A15" w:rsidRPr="00113658" w:rsidRDefault="00AA1A15" w:rsidP="00113658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13658">
        <w:rPr>
          <w:rFonts w:cs="Times New Roman"/>
          <w:color w:val="000000" w:themeColor="text1"/>
          <w:sz w:val="28"/>
          <w:szCs w:val="28"/>
        </w:rPr>
        <w:t xml:space="preserve">Треугольные альянсы с участием Ирана были известны в Азии в </w:t>
      </w:r>
      <w:r w:rsidRPr="00113658">
        <w:rPr>
          <w:rFonts w:cs="Times New Roman"/>
          <w:color w:val="000000" w:themeColor="text1"/>
          <w:sz w:val="28"/>
          <w:szCs w:val="28"/>
          <w:lang w:val="en-US"/>
        </w:rPr>
        <w:t>XX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в., но инициировались они, как правило, на глобальном уровне, </w:t>
      </w:r>
      <w:r w:rsidR="00BD548E">
        <w:rPr>
          <w:rFonts w:cs="Times New Roman"/>
          <w:color w:val="000000" w:themeColor="text1"/>
          <w:sz w:val="28"/>
          <w:szCs w:val="28"/>
        </w:rPr>
        <w:t xml:space="preserve">и 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прежде всего – США. Важно отметить, что традиционно </w:t>
      </w:r>
      <w:r w:rsidRPr="00113658">
        <w:rPr>
          <w:color w:val="000000" w:themeColor="text1"/>
          <w:sz w:val="28"/>
          <w:szCs w:val="28"/>
        </w:rPr>
        <w:t>в фокусе внимания оказывалась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</w:t>
      </w:r>
      <w:r w:rsidRPr="00113658">
        <w:rPr>
          <w:color w:val="000000" w:themeColor="text1"/>
          <w:sz w:val="28"/>
          <w:szCs w:val="28"/>
        </w:rPr>
        <w:t xml:space="preserve">их геополитическая </w:t>
      </w:r>
      <w:r w:rsidRPr="00113658">
        <w:rPr>
          <w:rFonts w:cs="Times New Roman"/>
          <w:color w:val="000000" w:themeColor="text1"/>
          <w:sz w:val="28"/>
          <w:szCs w:val="28"/>
        </w:rPr>
        <w:t>направленность. В</w:t>
      </w:r>
      <w:r w:rsidRPr="00113658">
        <w:rPr>
          <w:rFonts w:cs="Times New Roman"/>
          <w:color w:val="000000"/>
          <w:sz w:val="28"/>
          <w:szCs w:val="28"/>
        </w:rPr>
        <w:t xml:space="preserve"> ходе визита 1998 г. в Индию Е.М.</w:t>
      </w:r>
      <w:r w:rsidR="00BD548E">
        <w:rPr>
          <w:rFonts w:cs="Times New Roman"/>
          <w:color w:val="000000"/>
          <w:sz w:val="28"/>
          <w:szCs w:val="28"/>
        </w:rPr>
        <w:t> </w:t>
      </w:r>
      <w:r w:rsidRPr="00113658">
        <w:rPr>
          <w:rFonts w:cs="Times New Roman"/>
          <w:color w:val="000000"/>
          <w:sz w:val="28"/>
          <w:szCs w:val="28"/>
        </w:rPr>
        <w:t>Примаков выступил с инициативой формирования «треугольника «РИК» (Россия-Индия-Китай). Найденный Е.М. Примаковым формат стратегического треугольника («треугольник Примакова») сработал не только в варианте РИК, но в середине 2010-х гг. стал одни из самых распространенных форматов, воспринятых иранской дипломатией, вокруг которых происходит структурирование новой системы международных отношений в Азии.</w:t>
      </w:r>
    </w:p>
    <w:p w14:paraId="774378F0" w14:textId="77777777" w:rsidR="00113658" w:rsidRPr="00113658" w:rsidRDefault="00AA456A" w:rsidP="00113658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13658">
        <w:rPr>
          <w:rFonts w:cs="Times New Roman"/>
          <w:color w:val="000000" w:themeColor="text1"/>
          <w:sz w:val="28"/>
          <w:szCs w:val="28"/>
        </w:rPr>
        <w:t>Формирование внешней политики И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сламской Республики Иран (И</w:t>
      </w:r>
      <w:r w:rsidRPr="00113658">
        <w:rPr>
          <w:rFonts w:cs="Times New Roman"/>
          <w:color w:val="000000" w:themeColor="text1"/>
          <w:sz w:val="28"/>
          <w:szCs w:val="28"/>
        </w:rPr>
        <w:t>РИ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)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в рассматриваемый период </w:t>
      </w:r>
      <w:r w:rsidR="007E3C3B" w:rsidRPr="00113658">
        <w:rPr>
          <w:rFonts w:cs="Times New Roman"/>
          <w:color w:val="000000" w:themeColor="text1"/>
          <w:sz w:val="28"/>
          <w:szCs w:val="28"/>
        </w:rPr>
        <w:t xml:space="preserve">1979-2016 гг. </w:t>
      </w:r>
      <w:r w:rsidRPr="00113658">
        <w:rPr>
          <w:rFonts w:cs="Times New Roman"/>
          <w:color w:val="000000" w:themeColor="text1"/>
          <w:sz w:val="28"/>
          <w:szCs w:val="28"/>
        </w:rPr>
        <w:t>происходило под влиянием трех основных факторов – исламизации,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658" w:rsidRPr="00113658">
        <w:rPr>
          <w:rFonts w:cs="Times New Roman"/>
          <w:color w:val="000000" w:themeColor="text1"/>
          <w:sz w:val="28"/>
          <w:szCs w:val="28"/>
        </w:rPr>
        <w:t>геополитизации</w:t>
      </w:r>
      <w:proofErr w:type="spellEnd"/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 и глобализации.</w:t>
      </w:r>
    </w:p>
    <w:p w14:paraId="72837E87" w14:textId="77777777" w:rsidR="00AA456A" w:rsidRPr="00113658" w:rsidRDefault="00AA456A" w:rsidP="00113658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113658">
        <w:rPr>
          <w:rFonts w:cs="Times New Roman"/>
          <w:color w:val="000000" w:themeColor="text1"/>
          <w:sz w:val="28"/>
          <w:szCs w:val="28"/>
        </w:rPr>
        <w:t xml:space="preserve">В дипломатии ИРИ это нашло отражение в поиске форматов равного сотрудничества при решении региональных 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и глобальных </w:t>
      </w:r>
      <w:r w:rsidRPr="00113658">
        <w:rPr>
          <w:rFonts w:cs="Times New Roman"/>
          <w:color w:val="000000" w:themeColor="text1"/>
          <w:sz w:val="28"/>
          <w:szCs w:val="28"/>
        </w:rPr>
        <w:t>проблем.</w:t>
      </w:r>
      <w:r w:rsidR="00AA1A15" w:rsidRPr="00113658">
        <w:rPr>
          <w:rFonts w:cs="Times New Roman"/>
          <w:color w:val="000000" w:themeColor="text1"/>
          <w:sz w:val="28"/>
          <w:szCs w:val="28"/>
        </w:rPr>
        <w:t xml:space="preserve"> </w:t>
      </w:r>
      <w:r w:rsidRPr="00113658">
        <w:rPr>
          <w:rFonts w:cs="Times New Roman"/>
          <w:color w:val="000000" w:themeColor="text1"/>
          <w:sz w:val="28"/>
          <w:szCs w:val="28"/>
        </w:rPr>
        <w:t>Оказавшись в ситуации международной изоляции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,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религиозное руководство Ирана взяло курс на решение проблемы безопасности через включение страны в состав регионального объединения, статус члена которого давал бы защиту от внешнего давления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 и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реш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ал бы проблему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вхождения Ирана в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 континентальное сотрудничество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. Среди 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других 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актуальных направлений во внешней политике ИРИ </w:t>
      </w:r>
      <w:r w:rsidR="00113658" w:rsidRPr="00113658">
        <w:rPr>
          <w:rFonts w:cs="Times New Roman"/>
          <w:color w:val="000000" w:themeColor="text1"/>
          <w:sz w:val="28"/>
          <w:szCs w:val="28"/>
        </w:rPr>
        <w:t xml:space="preserve">следует </w:t>
      </w:r>
      <w:r w:rsidRPr="00113658">
        <w:rPr>
          <w:rFonts w:cs="Times New Roman"/>
          <w:color w:val="000000" w:themeColor="text1"/>
          <w:sz w:val="28"/>
          <w:szCs w:val="28"/>
        </w:rPr>
        <w:t>отметить п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оиск путей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расширения отношений со всеми государствами ССАГПЗ, вхождения в </w:t>
      </w:r>
      <w:r w:rsidRPr="00113658">
        <w:rPr>
          <w:rFonts w:cs="Times New Roman"/>
          <w:sz w:val="28"/>
          <w:szCs w:val="28"/>
        </w:rPr>
        <w:t xml:space="preserve">регион Центральной Азии, решения Каспийской проблемы. 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Так с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формировалась </w:t>
      </w:r>
      <w:r w:rsidRPr="00113658">
        <w:rPr>
          <w:rFonts w:cs="Times New Roman"/>
          <w:color w:val="000000" w:themeColor="text1"/>
          <w:sz w:val="28"/>
          <w:szCs w:val="28"/>
        </w:rPr>
        <w:lastRenderedPageBreak/>
        <w:t xml:space="preserve">многосторонняя проблемная дипломатия Ирана, квинтэссенцией которой </w:t>
      </w:r>
      <w:r w:rsidR="007E3C3B" w:rsidRPr="00113658">
        <w:rPr>
          <w:rFonts w:cs="Times New Roman"/>
          <w:color w:val="000000" w:themeColor="text1"/>
          <w:sz w:val="28"/>
          <w:szCs w:val="28"/>
        </w:rPr>
        <w:t xml:space="preserve">в начале </w:t>
      </w:r>
      <w:r w:rsidR="007E3C3B" w:rsidRPr="00113658">
        <w:rPr>
          <w:rFonts w:cs="Times New Roman"/>
          <w:color w:val="000000" w:themeColor="text1"/>
          <w:sz w:val="28"/>
          <w:szCs w:val="28"/>
          <w:lang w:val="en-US"/>
        </w:rPr>
        <w:t>XXI</w:t>
      </w:r>
      <w:r w:rsidR="007E3C3B" w:rsidRPr="00113658">
        <w:rPr>
          <w:rFonts w:cs="Times New Roman"/>
          <w:color w:val="000000" w:themeColor="text1"/>
          <w:sz w:val="28"/>
          <w:szCs w:val="28"/>
        </w:rPr>
        <w:t xml:space="preserve"> века 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стала </w:t>
      </w:r>
      <w:r w:rsidR="007E3C3B" w:rsidRPr="00113658">
        <w:rPr>
          <w:rFonts w:cs="Times New Roman"/>
          <w:color w:val="000000" w:themeColor="text1"/>
          <w:sz w:val="28"/>
          <w:szCs w:val="28"/>
        </w:rPr>
        <w:t>атомная дипломатия Ирана.</w:t>
      </w:r>
    </w:p>
    <w:p w14:paraId="3999FE40" w14:textId="77777777" w:rsidR="00AA456A" w:rsidRPr="00113658" w:rsidRDefault="00AA456A" w:rsidP="00113658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3658">
        <w:rPr>
          <w:color w:val="000000" w:themeColor="text1"/>
          <w:sz w:val="28"/>
          <w:szCs w:val="28"/>
        </w:rPr>
        <w:t>В 1990-е годы фактически складывается и треугольная дипломатия Тегерана. Так, идея создания стратегического треугольника Иран-Китай-Россия впервые была высказана в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1997 </w:t>
      </w:r>
      <w:r w:rsidRPr="00113658">
        <w:rPr>
          <w:color w:val="000000" w:themeColor="text1"/>
          <w:sz w:val="28"/>
          <w:szCs w:val="28"/>
        </w:rPr>
        <w:t xml:space="preserve">году </w:t>
      </w:r>
      <w:r w:rsidRPr="00113658">
        <w:rPr>
          <w:rFonts w:cs="Times New Roman"/>
          <w:color w:val="000000" w:themeColor="text1"/>
          <w:sz w:val="28"/>
          <w:szCs w:val="28"/>
        </w:rPr>
        <w:t>президент</w:t>
      </w:r>
      <w:r w:rsidRPr="00113658">
        <w:rPr>
          <w:color w:val="000000" w:themeColor="text1"/>
          <w:sz w:val="28"/>
          <w:szCs w:val="28"/>
        </w:rPr>
        <w:t>ом ИРИ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</w:t>
      </w:r>
      <w:r w:rsidRPr="00113658">
        <w:rPr>
          <w:color w:val="000000" w:themeColor="text1"/>
          <w:sz w:val="28"/>
          <w:szCs w:val="28"/>
        </w:rPr>
        <w:t xml:space="preserve">А.А. </w:t>
      </w:r>
      <w:r w:rsidRPr="00113658">
        <w:rPr>
          <w:rFonts w:cs="Times New Roman"/>
          <w:color w:val="000000" w:themeColor="text1"/>
          <w:sz w:val="28"/>
          <w:szCs w:val="28"/>
        </w:rPr>
        <w:t>Хашеми</w:t>
      </w:r>
      <w:r w:rsidRPr="00113658">
        <w:rPr>
          <w:color w:val="000000" w:themeColor="text1"/>
          <w:sz w:val="28"/>
          <w:szCs w:val="28"/>
        </w:rPr>
        <w:t>-</w:t>
      </w:r>
      <w:r w:rsidRPr="00113658">
        <w:rPr>
          <w:rFonts w:cs="Times New Roman"/>
          <w:color w:val="000000" w:themeColor="text1"/>
          <w:sz w:val="28"/>
          <w:szCs w:val="28"/>
        </w:rPr>
        <w:t>Рафсанджани, решавшем ставшую «традиционной»</w:t>
      </w:r>
      <w:r w:rsidRPr="00113658">
        <w:rPr>
          <w:color w:val="000000" w:themeColor="text1"/>
          <w:sz w:val="28"/>
          <w:szCs w:val="28"/>
        </w:rPr>
        <w:t xml:space="preserve"> проблему выхода страны из международной изоляции. О</w:t>
      </w:r>
      <w:r w:rsidRPr="00113658">
        <w:rPr>
          <w:rFonts w:cs="Times New Roman"/>
          <w:sz w:val="28"/>
          <w:szCs w:val="28"/>
        </w:rPr>
        <w:t xml:space="preserve">ценивая усилия Тегерана, наблюдатели в 2007 г. сделали предположение о возникающем стратегическом альянсе на Ближнем Востоке по оси Тегеран-Багдад-Дамаск. </w:t>
      </w:r>
      <w:r w:rsidRPr="00113658">
        <w:rPr>
          <w:color w:val="000000" w:themeColor="text1"/>
          <w:sz w:val="28"/>
          <w:szCs w:val="28"/>
        </w:rPr>
        <w:t xml:space="preserve">После прихода к власти исламских сил в Египте в 2011 году ученые начали обсуждать перспективы </w:t>
      </w:r>
      <w:r w:rsidRPr="00113658">
        <w:rPr>
          <w:rFonts w:cs="Times New Roman"/>
          <w:color w:val="000000" w:themeColor="text1"/>
          <w:sz w:val="28"/>
          <w:szCs w:val="28"/>
        </w:rPr>
        <w:t>египетско-ирано-турецк</w:t>
      </w:r>
      <w:r w:rsidRPr="00113658">
        <w:rPr>
          <w:color w:val="000000" w:themeColor="text1"/>
          <w:sz w:val="28"/>
          <w:szCs w:val="28"/>
        </w:rPr>
        <w:t>ого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</w:t>
      </w:r>
      <w:r w:rsidRPr="00113658">
        <w:rPr>
          <w:color w:val="000000" w:themeColor="text1"/>
          <w:sz w:val="28"/>
          <w:szCs w:val="28"/>
        </w:rPr>
        <w:t xml:space="preserve">треугольника. 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Во второй декаде </w:t>
      </w:r>
      <w:r w:rsidRPr="00113658">
        <w:rPr>
          <w:rFonts w:cs="Times New Roman"/>
          <w:color w:val="000000" w:themeColor="text1"/>
          <w:sz w:val="28"/>
          <w:szCs w:val="28"/>
          <w:lang w:val="en-US"/>
        </w:rPr>
        <w:t>XXI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 века эксперты стали называть новые возможные стратегические треугольники, среди которых – «сирийский» т</w:t>
      </w:r>
      <w:r w:rsidR="007E3C3B" w:rsidRPr="00113658">
        <w:rPr>
          <w:rFonts w:cs="Times New Roman"/>
          <w:color w:val="000000" w:themeColor="text1"/>
          <w:sz w:val="28"/>
          <w:szCs w:val="28"/>
        </w:rPr>
        <w:t>реугольник Иран – Россия – США.</w:t>
      </w:r>
    </w:p>
    <w:p w14:paraId="63BBA4CE" w14:textId="77777777" w:rsidR="00AA456A" w:rsidRPr="00113658" w:rsidRDefault="00AA456A" w:rsidP="00113658">
      <w:pPr>
        <w:spacing w:line="360" w:lineRule="auto"/>
        <w:ind w:firstLine="709"/>
        <w:jc w:val="both"/>
        <w:textAlignment w:val="baseline"/>
        <w:rPr>
          <w:rFonts w:cs="Times New Roman"/>
          <w:color w:val="000000" w:themeColor="text1"/>
          <w:sz w:val="28"/>
          <w:szCs w:val="28"/>
        </w:rPr>
      </w:pPr>
      <w:r w:rsidRPr="001136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целом м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еждународная изоляция и растущая нестабильность на границах, не соответствовавшая представлениям иранского руководства о величии и безопасности страны, потребности развития, способствовала возникновению нового стратегического направления во внешней политике ИРИ – </w:t>
      </w:r>
      <w:r w:rsidRPr="001136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«треугольной дипломатии»</w:t>
      </w:r>
      <w:r w:rsidRPr="00113658">
        <w:rPr>
          <w:rFonts w:cs="Times New Roman"/>
          <w:color w:val="000000" w:themeColor="text1"/>
          <w:sz w:val="28"/>
          <w:szCs w:val="28"/>
        </w:rPr>
        <w:t xml:space="preserve">, что не имело аналогов в международной практике. </w:t>
      </w:r>
      <w:r w:rsidR="00BD548E">
        <w:rPr>
          <w:rFonts w:cs="Times New Roman"/>
          <w:color w:val="000000" w:themeColor="text1"/>
          <w:sz w:val="28"/>
          <w:szCs w:val="28"/>
        </w:rPr>
        <w:t>Внешнеполитическая активность</w:t>
      </w:r>
      <w:r w:rsidRPr="001136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формате «треугольников Примакова» придает иранской внешней политике стратегическую глубину</w:t>
      </w:r>
      <w:r w:rsidR="00BD548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подчеркивая актуальность данного формата для развития международного сотрудничества в Азии, в том числе – с участием России</w:t>
      </w:r>
      <w:r w:rsidR="00113658" w:rsidRPr="00113658">
        <w:rPr>
          <w:rFonts w:cs="Times New Roman"/>
          <w:color w:val="000000" w:themeColor="text1"/>
          <w:sz w:val="28"/>
          <w:szCs w:val="28"/>
        </w:rPr>
        <w:t>.</w:t>
      </w:r>
    </w:p>
    <w:p w14:paraId="30AE5E96" w14:textId="77777777" w:rsidR="00AA456A" w:rsidRDefault="00AA456A" w:rsidP="00AA456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C6F5B9D" w14:textId="77777777" w:rsidR="00AA456A" w:rsidRPr="00AA456A" w:rsidRDefault="00AA456A" w:rsidP="00AA456A">
      <w:pPr>
        <w:pStyle w:val="a7"/>
        <w:spacing w:after="0" w:line="360" w:lineRule="auto"/>
        <w:rPr>
          <w:rFonts w:eastAsia="MS Mincho"/>
          <w:sz w:val="28"/>
          <w:szCs w:val="28"/>
        </w:rPr>
      </w:pPr>
      <w:r w:rsidRPr="00AA456A">
        <w:rPr>
          <w:rFonts w:eastAsia="MS Mincho"/>
          <w:b/>
          <w:sz w:val="28"/>
          <w:szCs w:val="28"/>
        </w:rPr>
        <w:t>Ключевые слова:</w:t>
      </w:r>
      <w:r w:rsidRPr="00AA456A">
        <w:rPr>
          <w:rFonts w:eastAsia="MS Mincho"/>
          <w:sz w:val="28"/>
          <w:szCs w:val="28"/>
        </w:rPr>
        <w:t xml:space="preserve"> Иран, дипломатия треугольников, «треугольники Примакова», многосторонняя проблемная дипломатия, система международных отношений, Азия.</w:t>
      </w:r>
    </w:p>
    <w:p w14:paraId="471A5593" w14:textId="77777777" w:rsidR="007E41BB" w:rsidRPr="00CB0CD0" w:rsidRDefault="007E41BB" w:rsidP="0011365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E41BB" w:rsidRPr="00CB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C630D" w14:textId="77777777" w:rsidR="00371493" w:rsidRDefault="00371493" w:rsidP="00AA456A">
      <w:r>
        <w:separator/>
      </w:r>
    </w:p>
  </w:endnote>
  <w:endnote w:type="continuationSeparator" w:id="0">
    <w:p w14:paraId="5B3F1BC3" w14:textId="77777777" w:rsidR="00371493" w:rsidRDefault="00371493" w:rsidP="00AA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C60E0" w14:textId="77777777" w:rsidR="00371493" w:rsidRDefault="00371493" w:rsidP="00AA456A">
      <w:r>
        <w:separator/>
      </w:r>
    </w:p>
  </w:footnote>
  <w:footnote w:type="continuationSeparator" w:id="0">
    <w:p w14:paraId="380D4C79" w14:textId="77777777" w:rsidR="00371493" w:rsidRDefault="00371493" w:rsidP="00AA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BB"/>
    <w:rsid w:val="00043019"/>
    <w:rsid w:val="00113658"/>
    <w:rsid w:val="00295B11"/>
    <w:rsid w:val="002F35E3"/>
    <w:rsid w:val="003622AB"/>
    <w:rsid w:val="00371493"/>
    <w:rsid w:val="004D6BD4"/>
    <w:rsid w:val="004F095A"/>
    <w:rsid w:val="007E3C3B"/>
    <w:rsid w:val="007E41BB"/>
    <w:rsid w:val="00A35F0B"/>
    <w:rsid w:val="00AA1A15"/>
    <w:rsid w:val="00AA456A"/>
    <w:rsid w:val="00BD548E"/>
    <w:rsid w:val="00C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D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430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1B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45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A456A"/>
    <w:pPr>
      <w:ind w:firstLine="709"/>
      <w:jc w:val="both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AA456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AA456A"/>
    <w:pPr>
      <w:spacing w:after="120"/>
      <w:ind w:firstLine="709"/>
      <w:jc w:val="both"/>
    </w:pPr>
    <w:rPr>
      <w:rFonts w:eastAsia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AA456A"/>
    <w:rPr>
      <w:rFonts w:ascii="Times New Roman" w:eastAsia="Calibri" w:hAnsi="Times New Roman" w:cs="Times New Roman"/>
      <w:sz w:val="24"/>
    </w:rPr>
  </w:style>
  <w:style w:type="paragraph" w:styleId="a9">
    <w:name w:val="Body Text Indent"/>
    <w:basedOn w:val="a"/>
    <w:link w:val="aa"/>
    <w:uiPriority w:val="99"/>
    <w:semiHidden/>
    <w:unhideWhenUsed/>
    <w:rsid w:val="00AA456A"/>
    <w:pPr>
      <w:spacing w:after="120"/>
      <w:ind w:left="283" w:firstLine="709"/>
      <w:jc w:val="both"/>
    </w:pPr>
    <w:rPr>
      <w:rFonts w:eastAsia="Calibri" w:cs="Times New Roman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A456A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AA45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456A"/>
    <w:rPr>
      <w:rFonts w:ascii="Times New Roman" w:hAnsi="Times New Roman"/>
      <w:sz w:val="16"/>
      <w:szCs w:val="16"/>
    </w:rPr>
  </w:style>
  <w:style w:type="paragraph" w:customStyle="1" w:styleId="Style8">
    <w:name w:val="Style8"/>
    <w:basedOn w:val="a"/>
    <w:uiPriority w:val="99"/>
    <w:rsid w:val="00AA456A"/>
    <w:pPr>
      <w:widowControl w:val="0"/>
      <w:autoSpaceDE w:val="0"/>
      <w:autoSpaceDN w:val="0"/>
      <w:adjustRightInd w:val="0"/>
      <w:spacing w:line="230" w:lineRule="exact"/>
      <w:ind w:firstLine="427"/>
      <w:jc w:val="both"/>
    </w:pPr>
    <w:rPr>
      <w:rFonts w:ascii="Arial" w:eastAsiaTheme="minorEastAsia" w:hAnsi="Arial" w:cs="Arial"/>
      <w:szCs w:val="24"/>
      <w:lang w:eastAsia="ru-RU"/>
    </w:rPr>
  </w:style>
  <w:style w:type="character" w:styleId="ab">
    <w:name w:val="footnote reference"/>
    <w:uiPriority w:val="99"/>
    <w:semiHidden/>
    <w:unhideWhenUsed/>
    <w:rsid w:val="00AA456A"/>
    <w:rPr>
      <w:vertAlign w:val="superscript"/>
    </w:rPr>
  </w:style>
  <w:style w:type="character" w:customStyle="1" w:styleId="contentcreatedate">
    <w:name w:val="contentcreatedate"/>
    <w:basedOn w:val="a0"/>
    <w:rsid w:val="00AA456A"/>
  </w:style>
  <w:style w:type="character" w:customStyle="1" w:styleId="span6">
    <w:name w:val="span6"/>
    <w:basedOn w:val="a0"/>
    <w:rsid w:val="00AA456A"/>
  </w:style>
  <w:style w:type="character" w:styleId="ac">
    <w:name w:val="Strong"/>
    <w:basedOn w:val="a0"/>
    <w:uiPriority w:val="22"/>
    <w:qFormat/>
    <w:rsid w:val="00AA4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Валерия Вершинина</cp:lastModifiedBy>
  <cp:revision>2</cp:revision>
  <dcterms:created xsi:type="dcterms:W3CDTF">2016-11-29T17:29:00Z</dcterms:created>
  <dcterms:modified xsi:type="dcterms:W3CDTF">2016-11-29T17:29:00Z</dcterms:modified>
</cp:coreProperties>
</file>