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9A" w:rsidRDefault="00AD3C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3C95">
        <w:rPr>
          <w:rFonts w:ascii="Times New Roman" w:hAnsi="Times New Roman" w:cs="Times New Roman"/>
          <w:b/>
          <w:sz w:val="28"/>
          <w:szCs w:val="28"/>
        </w:rPr>
        <w:t>Van der Togt, Tony M.A. (history)</w:t>
      </w:r>
      <w:r>
        <w:rPr>
          <w:rFonts w:ascii="Times New Roman" w:hAnsi="Times New Roman" w:cs="Times New Roman"/>
          <w:b/>
          <w:sz w:val="28"/>
          <w:szCs w:val="28"/>
        </w:rPr>
        <w:t>, Clingendael Institute, The Netherlands</w:t>
      </w:r>
    </w:p>
    <w:p w:rsidR="00C73801" w:rsidRDefault="00C73801">
      <w:pPr>
        <w:rPr>
          <w:rFonts w:ascii="Times New Roman" w:hAnsi="Times New Roman" w:cs="Times New Roman"/>
          <w:b/>
          <w:sz w:val="28"/>
          <w:szCs w:val="28"/>
        </w:rPr>
      </w:pPr>
    </w:p>
    <w:p w:rsidR="00AD3C95" w:rsidRDefault="00AD3C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BRIDGING THE DIVIDING LINES IN GREATER EURASIA</w:t>
      </w:r>
    </w:p>
    <w:p w:rsidR="00C73801" w:rsidRDefault="00C73801">
      <w:pPr>
        <w:rPr>
          <w:rFonts w:ascii="Times New Roman" w:hAnsi="Times New Roman" w:cs="Times New Roman"/>
          <w:b/>
          <w:sz w:val="28"/>
          <w:szCs w:val="28"/>
        </w:rPr>
      </w:pPr>
    </w:p>
    <w:p w:rsidR="00AD3C95" w:rsidRDefault="00494F0E">
      <w:pPr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5648E7">
        <w:rPr>
          <w:rFonts w:ascii="Times New Roman" w:hAnsi="Times New Roman" w:cs="Times New Roman"/>
          <w:b/>
          <w:sz w:val="28"/>
          <w:szCs w:val="28"/>
          <w:lang w:val="fr-BE"/>
        </w:rPr>
        <w:t>ABSTRACT</w:t>
      </w:r>
    </w:p>
    <w:p w:rsidR="005648E7" w:rsidRDefault="005648E7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Instead of convergence towards a Greater Europe « from Lisbon to Vladivostok », </w:t>
      </w:r>
      <w:r w:rsidR="00236D46">
        <w:rPr>
          <w:rFonts w:ascii="Times New Roman" w:hAnsi="Times New Roman" w:cs="Times New Roman"/>
          <w:sz w:val="28"/>
          <w:szCs w:val="28"/>
          <w:lang w:val="fr-BE"/>
        </w:rPr>
        <w:t>we have recently noted increased competition and divergence between  European and Eurasian forms of regional integration.</w:t>
      </w:r>
    </w:p>
    <w:p w:rsidR="00236D46" w:rsidRPr="00054109" w:rsidRDefault="0056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The Clingendael report proposes </w:t>
      </w:r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the option of </w:t>
      </w:r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tentative compatibility between the EU and the Eurasian Economic Union, working towards greater approximation of technical norms and standards and preventing a further widening of the gap between two « competing unions ». </w:t>
      </w:r>
      <w:r w:rsidR="00054109" w:rsidRPr="00054109">
        <w:rPr>
          <w:rFonts w:ascii="Times New Roman" w:hAnsi="Times New Roman" w:cs="Times New Roman"/>
          <w:sz w:val="28"/>
          <w:szCs w:val="28"/>
        </w:rPr>
        <w:t>Some form of (informal) relationship between the EU and the EEU should therefore be established.</w:t>
      </w:r>
    </w:p>
    <w:p w:rsidR="00054109" w:rsidRDefault="00236D46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635D0D">
        <w:rPr>
          <w:rFonts w:ascii="Times New Roman" w:hAnsi="Times New Roman" w:cs="Times New Roman"/>
          <w:sz w:val="28"/>
          <w:szCs w:val="28"/>
        </w:rPr>
        <w:t xml:space="preserve">For the « shared neighbourhood » this </w:t>
      </w:r>
      <w:r w:rsidR="00635D0D" w:rsidRPr="00635D0D">
        <w:rPr>
          <w:rFonts w:ascii="Times New Roman" w:hAnsi="Times New Roman" w:cs="Times New Roman"/>
          <w:sz w:val="28"/>
          <w:szCs w:val="28"/>
        </w:rPr>
        <w:t>w</w:t>
      </w:r>
      <w:r w:rsidRPr="00635D0D">
        <w:rPr>
          <w:rFonts w:ascii="Times New Roman" w:hAnsi="Times New Roman" w:cs="Times New Roman"/>
          <w:sz w:val="28"/>
          <w:szCs w:val="28"/>
        </w:rPr>
        <w:t xml:space="preserve">ould imply an option of “no choosing, no losing”, giving countries the opportunity to have good relations with both sides. </w:t>
      </w:r>
      <w:r w:rsidR="000526DE" w:rsidRPr="00635D0D">
        <w:rPr>
          <w:rFonts w:ascii="Times New Roman" w:hAnsi="Times New Roman" w:cs="Times New Roman"/>
          <w:sz w:val="28"/>
          <w:szCs w:val="28"/>
        </w:rPr>
        <w:t xml:space="preserve">As long as the option of a wider Free Trade Union between the EU and the EEU is not </w:t>
      </w:r>
      <w:r w:rsidR="00054109" w:rsidRPr="00635D0D">
        <w:rPr>
          <w:rFonts w:ascii="Times New Roman" w:hAnsi="Times New Roman" w:cs="Times New Roman"/>
          <w:sz w:val="28"/>
          <w:szCs w:val="28"/>
        </w:rPr>
        <w:t xml:space="preserve">a </w:t>
      </w:r>
      <w:r w:rsidR="000526DE" w:rsidRPr="00635D0D">
        <w:rPr>
          <w:rFonts w:ascii="Times New Roman" w:hAnsi="Times New Roman" w:cs="Times New Roman"/>
          <w:sz w:val="28"/>
          <w:szCs w:val="28"/>
        </w:rPr>
        <w:t>realistic</w:t>
      </w:r>
      <w:r w:rsidR="00054109" w:rsidRPr="00635D0D">
        <w:rPr>
          <w:rFonts w:ascii="Times New Roman" w:hAnsi="Times New Roman" w:cs="Times New Roman"/>
          <w:sz w:val="28"/>
          <w:szCs w:val="28"/>
        </w:rPr>
        <w:t xml:space="preserve"> perspective</w:t>
      </w:r>
      <w:r w:rsidR="000526DE" w:rsidRPr="00635D0D">
        <w:rPr>
          <w:rFonts w:ascii="Times New Roman" w:hAnsi="Times New Roman" w:cs="Times New Roman"/>
          <w:sz w:val="28"/>
          <w:szCs w:val="28"/>
        </w:rPr>
        <w:t xml:space="preserve">, because of the present geopolitical </w:t>
      </w:r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r w:rsidR="000526DE" w:rsidRPr="00635D0D">
        <w:rPr>
          <w:rFonts w:ascii="Times New Roman" w:hAnsi="Times New Roman" w:cs="Times New Roman"/>
          <w:sz w:val="28"/>
          <w:szCs w:val="28"/>
        </w:rPr>
        <w:t>conflicts, the EU could diversify the relations with individual Eastern Partnership countries, taking their other ob</w:t>
      </w:r>
      <w:r w:rsidR="00635D0D" w:rsidRPr="00635D0D">
        <w:rPr>
          <w:rFonts w:ascii="Times New Roman" w:hAnsi="Times New Roman" w:cs="Times New Roman"/>
          <w:sz w:val="28"/>
          <w:szCs w:val="28"/>
        </w:rPr>
        <w:t xml:space="preserve">ligations towards third parties/other unions </w:t>
      </w:r>
      <w:r w:rsidR="000526DE" w:rsidRPr="00635D0D">
        <w:rPr>
          <w:rFonts w:ascii="Times New Roman" w:hAnsi="Times New Roman" w:cs="Times New Roman"/>
          <w:sz w:val="28"/>
          <w:szCs w:val="28"/>
        </w:rPr>
        <w:t xml:space="preserve">into account and assisting all sides to modernise </w:t>
      </w:r>
      <w:r w:rsidR="00054109" w:rsidRPr="00635D0D">
        <w:rPr>
          <w:rFonts w:ascii="Times New Roman" w:hAnsi="Times New Roman" w:cs="Times New Roman"/>
          <w:sz w:val="28"/>
          <w:szCs w:val="28"/>
        </w:rPr>
        <w:t>their econom</w:t>
      </w:r>
      <w:r w:rsidR="00635D0D" w:rsidRPr="00635D0D">
        <w:rPr>
          <w:rFonts w:ascii="Times New Roman" w:hAnsi="Times New Roman" w:cs="Times New Roman"/>
          <w:sz w:val="28"/>
          <w:szCs w:val="28"/>
        </w:rPr>
        <w:t>ies</w:t>
      </w:r>
      <w:r w:rsidR="00054109" w:rsidRPr="00635D0D">
        <w:rPr>
          <w:rFonts w:ascii="Times New Roman" w:hAnsi="Times New Roman" w:cs="Times New Roman"/>
          <w:sz w:val="28"/>
          <w:szCs w:val="28"/>
        </w:rPr>
        <w:t xml:space="preserve"> </w:t>
      </w:r>
      <w:r w:rsidR="000526DE" w:rsidRPr="00635D0D">
        <w:rPr>
          <w:rFonts w:ascii="Times New Roman" w:hAnsi="Times New Roman" w:cs="Times New Roman"/>
          <w:sz w:val="28"/>
          <w:szCs w:val="28"/>
        </w:rPr>
        <w:t>to increase competitiveness in a wider Eurasian context.</w:t>
      </w:r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This also presupposes that a « Fortress Eurasia » is not a feasible long-term option and that proximity and complementarity stimulates the EU to search for </w:t>
      </w:r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new </w:t>
      </w:r>
      <w:r w:rsidR="00054109">
        <w:rPr>
          <w:rFonts w:ascii="Times New Roman" w:hAnsi="Times New Roman" w:cs="Times New Roman"/>
          <w:sz w:val="28"/>
          <w:szCs w:val="28"/>
          <w:lang w:val="fr-BE"/>
        </w:rPr>
        <w:t>opportunities in Greater Eurasia.</w:t>
      </w:r>
    </w:p>
    <w:p w:rsidR="00054109" w:rsidRDefault="00054109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The recent Chinese plans for a New</w:t>
      </w:r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Silk Road, 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connecting China with broader Eurasian and European markets, could offer </w:t>
      </w:r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additional 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opportunities for a broader </w:t>
      </w:r>
      <w:r w:rsidR="00635D0D">
        <w:rPr>
          <w:rFonts w:ascii="Times New Roman" w:hAnsi="Times New Roman" w:cs="Times New Roman"/>
          <w:sz w:val="28"/>
          <w:szCs w:val="28"/>
          <w:lang w:val="fr-BE"/>
        </w:rPr>
        <w:t>Eurasian integration and should be taken seriously not only by the EEU, but also by the EU.</w:t>
      </w:r>
    </w:p>
    <w:p w:rsidR="00635D0D" w:rsidRDefault="00635D0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Greater connectivity and convergence of economic systems could lead to more prosperity and peaceful development in a Greater Eurasia from « Lisbon to Shanghai ».  </w:t>
      </w:r>
    </w:p>
    <w:p w:rsidR="00054109" w:rsidRPr="00236D46" w:rsidRDefault="00054109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494F0E" w:rsidRPr="005648E7" w:rsidRDefault="00494F0E">
      <w:pPr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5648E7">
        <w:rPr>
          <w:rFonts w:ascii="Times New Roman" w:hAnsi="Times New Roman" w:cs="Times New Roman"/>
          <w:b/>
          <w:sz w:val="28"/>
          <w:szCs w:val="28"/>
          <w:lang w:val="fr-BE"/>
        </w:rPr>
        <w:t>KEYWORDS</w:t>
      </w:r>
      <w:r w:rsidR="005648E7" w:rsidRPr="005648E7">
        <w:rPr>
          <w:rFonts w:ascii="Times New Roman" w:hAnsi="Times New Roman" w:cs="Times New Roman"/>
          <w:b/>
          <w:sz w:val="28"/>
          <w:szCs w:val="28"/>
          <w:lang w:val="fr-BE"/>
        </w:rPr>
        <w:t>:</w:t>
      </w:r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 xml:space="preserve"> </w:t>
      </w:r>
      <w:r w:rsidR="005648E7" w:rsidRPr="005648E7">
        <w:rPr>
          <w:rFonts w:ascii="Times New Roman" w:hAnsi="Times New Roman" w:cs="Times New Roman"/>
          <w:b/>
          <w:sz w:val="28"/>
          <w:szCs w:val="28"/>
          <w:lang w:val="fr-BE"/>
        </w:rPr>
        <w:t>EU</w:t>
      </w:r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>, Russia, EEU, Eurasian integration, Eastern Partnership, China</w:t>
      </w:r>
    </w:p>
    <w:sectPr w:rsidR="00494F0E" w:rsidRPr="005648E7" w:rsidSect="00AD3C9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5"/>
    <w:rsid w:val="000526DE"/>
    <w:rsid w:val="00054109"/>
    <w:rsid w:val="00236D46"/>
    <w:rsid w:val="00494F0E"/>
    <w:rsid w:val="005648E7"/>
    <w:rsid w:val="00570713"/>
    <w:rsid w:val="00635D0D"/>
    <w:rsid w:val="00A5239A"/>
    <w:rsid w:val="00AD3C95"/>
    <w:rsid w:val="00C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E1FA-FC7C-4C18-AD8F-735BEFB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van der Togt</dc:creator>
  <cp:keywords/>
  <dc:description/>
  <cp:lastModifiedBy>Екатерина</cp:lastModifiedBy>
  <cp:revision>2</cp:revision>
  <dcterms:created xsi:type="dcterms:W3CDTF">2016-12-04T16:33:00Z</dcterms:created>
  <dcterms:modified xsi:type="dcterms:W3CDTF">2016-12-04T16:33:00Z</dcterms:modified>
</cp:coreProperties>
</file>