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3C" w:rsidRPr="00363D1B" w:rsidRDefault="00DA6227" w:rsidP="00363D1B">
      <w:pPr>
        <w:pStyle w:val="a5"/>
        <w:jc w:val="both"/>
        <w:rPr>
          <w:b/>
        </w:rPr>
      </w:pPr>
      <w:r w:rsidRPr="00363D1B">
        <w:rPr>
          <w:rFonts w:ascii="Times New Roman" w:hAnsi="Times New Roman"/>
          <w:b/>
          <w:sz w:val="28"/>
          <w:szCs w:val="28"/>
        </w:rPr>
        <w:t>Нежданов Владимир Львович</w:t>
      </w:r>
    </w:p>
    <w:p w:rsidR="00363D1B" w:rsidRDefault="00363D1B" w:rsidP="00363D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49CE">
        <w:rPr>
          <w:rFonts w:ascii="Times New Roman" w:hAnsi="Times New Roman" w:cs="Times New Roman"/>
          <w:sz w:val="28"/>
          <w:szCs w:val="28"/>
        </w:rPr>
        <w:t>магистр по направлению «Международные отношения»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1B" w:rsidRDefault="00363D1B" w:rsidP="00363D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Тюменский государственный</w:t>
      </w:r>
      <w:r w:rsidRPr="00CE49C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223C" w:rsidRDefault="00363D1B" w:rsidP="00363D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E4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Тюменского регионального отделения</w:t>
      </w:r>
      <w:r w:rsidRPr="00CE49CE">
        <w:rPr>
          <w:rFonts w:ascii="Times New Roman" w:hAnsi="Times New Roman" w:cs="Times New Roman"/>
          <w:sz w:val="28"/>
          <w:szCs w:val="28"/>
        </w:rPr>
        <w:t xml:space="preserve"> «Дома российско-китайской дружбы»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1B" w:rsidRDefault="00363D1B" w:rsidP="00363D1B">
      <w:pPr>
        <w:pStyle w:val="a5"/>
        <w:jc w:val="both"/>
      </w:pPr>
    </w:p>
    <w:p w:rsidR="0090223C" w:rsidRDefault="00DA6227">
      <w:pPr>
        <w:pStyle w:val="a5"/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Западная Сибирь:</w:t>
      </w:r>
      <w:r w:rsidR="0000132A">
        <w:rPr>
          <w:rFonts w:ascii="Times New Roman" w:hAnsi="Times New Roman"/>
          <w:sz w:val="28"/>
          <w:szCs w:val="28"/>
        </w:rPr>
        <w:t xml:space="preserve"> есть ли</w:t>
      </w:r>
      <w:r>
        <w:rPr>
          <w:rFonts w:ascii="Times New Roman" w:hAnsi="Times New Roman"/>
          <w:sz w:val="28"/>
          <w:szCs w:val="28"/>
        </w:rPr>
        <w:t xml:space="preserve"> поворот на Восток</w:t>
      </w:r>
      <w:r w:rsidR="0000132A">
        <w:rPr>
          <w:rFonts w:ascii="Times New Roman" w:hAnsi="Times New Roman"/>
          <w:sz w:val="28"/>
          <w:szCs w:val="28"/>
        </w:rPr>
        <w:t xml:space="preserve">? </w:t>
      </w:r>
    </w:p>
    <w:p w:rsidR="0090223C" w:rsidRDefault="0090223C">
      <w:pPr>
        <w:pStyle w:val="a5"/>
        <w:spacing w:line="360" w:lineRule="auto"/>
        <w:jc w:val="center"/>
      </w:pPr>
    </w:p>
    <w:p w:rsidR="0090223C" w:rsidRDefault="00DA6227">
      <w:pPr>
        <w:pStyle w:val="a5"/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Тюменская область, а также Ханты-Мансийский АО и </w:t>
      </w:r>
      <w:proofErr w:type="gramStart"/>
      <w:r>
        <w:rPr>
          <w:rFonts w:ascii="Times New Roman" w:hAnsi="Times New Roman"/>
          <w:sz w:val="28"/>
          <w:szCs w:val="28"/>
        </w:rPr>
        <w:t>Ямало-Ненецкий</w:t>
      </w:r>
      <w:proofErr w:type="gramEnd"/>
      <w:r>
        <w:rPr>
          <w:rFonts w:ascii="Times New Roman" w:hAnsi="Times New Roman"/>
          <w:sz w:val="28"/>
          <w:szCs w:val="28"/>
        </w:rPr>
        <w:t xml:space="preserve"> АО являются важнейшими с экономической точки зрения регионами России, начиная с открытия первых нефтяных и газовых месторождений в 1960-х годах. Лишь с 1991 года Тюменская область получила статус пограничного региона, на юге проходит государственная граница с Казахстаном. Именно в это время Тюмень активно включилась в международные </w:t>
      </w:r>
      <w:proofErr w:type="gramStart"/>
      <w:r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>
        <w:rPr>
          <w:rFonts w:ascii="Times New Roman" w:hAnsi="Times New Roman"/>
          <w:sz w:val="28"/>
          <w:szCs w:val="28"/>
        </w:rPr>
        <w:t>, в регионе появились совместные предприятия, филиалы иностранных компаний, появились города-побратимы, в том чи</w:t>
      </w:r>
      <w:r w:rsidR="00D9703C">
        <w:rPr>
          <w:rFonts w:ascii="Times New Roman" w:hAnsi="Times New Roman"/>
          <w:sz w:val="28"/>
          <w:szCs w:val="28"/>
        </w:rPr>
        <w:t>сле и китайский Дацин</w:t>
      </w:r>
      <w:r>
        <w:rPr>
          <w:rFonts w:ascii="Times New Roman" w:hAnsi="Times New Roman"/>
          <w:sz w:val="28"/>
          <w:szCs w:val="28"/>
        </w:rPr>
        <w:t xml:space="preserve">. С 2012 года, после саммита АТЭС во Владивостоке, в </w:t>
      </w:r>
      <w:proofErr w:type="gramStart"/>
      <w:r>
        <w:rPr>
          <w:rFonts w:ascii="Times New Roman" w:hAnsi="Times New Roman"/>
          <w:sz w:val="28"/>
          <w:szCs w:val="28"/>
        </w:rPr>
        <w:t>Тюмени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во всей России начали говорить о необходимости «Поворота на Восток», контактах в первую очередь с КНР.</w:t>
      </w:r>
    </w:p>
    <w:p w:rsidR="0090223C" w:rsidRDefault="00DA6227">
      <w:pPr>
        <w:pStyle w:val="a5"/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Однако необходимо заметить, что отношения с Востоком в Тюмени никогда не стояли в приоритете. Более того, несмотря на тот факт, что Тюменская область географически находится в Азии, основным её приоритетом всегда была Европа, что подтверждают следующие тезисы.</w:t>
      </w:r>
    </w:p>
    <w:p w:rsidR="0090223C" w:rsidRDefault="00DA622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представленной статистике в регионе за период с 1991 года по 2016 год среди крупных инфраструктурных проектов не было представлено компаний из Азии. Исключение составляет компания, занимающаяся поставками нефтегазового оборудования, </w:t>
      </w:r>
      <w:proofErr w:type="gramStart"/>
      <w:r>
        <w:rPr>
          <w:rFonts w:ascii="Times New Roman" w:hAnsi="Times New Roman"/>
          <w:sz w:val="28"/>
          <w:szCs w:val="28"/>
        </w:rPr>
        <w:t>головной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офис которой находится в Кувейте.</w:t>
      </w:r>
    </w:p>
    <w:p w:rsidR="0090223C" w:rsidRDefault="00DA622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центральных проблем региональной политики остается недоверие к компаниям из Азии, страх перед так называемой «китайской угрозой», полная ассоциация азиатского и европейского подхода к ведению бизнеса.</w:t>
      </w:r>
    </w:p>
    <w:p w:rsidR="0090223C" w:rsidRDefault="00DA622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Подход к проблеме со стороны крупных предпринимателей поддерживается позицией руководства региона, не представленного на прошедшем во Владивостоке экономическом форуме. Проблема же поездок на китайские выставки - отсутствие подготовки, а также специалистов и переводчиков в органах власти.</w:t>
      </w:r>
    </w:p>
    <w:p w:rsidR="0090223C" w:rsidRDefault="00DA622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следствие отсутствие специалистов по Востоку в органах власти нивелируется тем, что в работу включаются люди с «западным» опытом. По этой причине в глазах официальных лиц «Поворот на Восток» не просто ограничивается лишь Китаем, но и полон разных предрассудков.</w:t>
      </w:r>
    </w:p>
    <w:p w:rsidR="0090223C" w:rsidRDefault="00DA622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Интересна ситуация и среди представителей МСП. Для многих предпринимателей существует явный интерес в контактах с Азией, в частности с КНР. Однако проблема заключается не только в 25-летней западной ориентации региона, но и в негласном «запрете на китайцев» на протяжении 10 лет.</w:t>
      </w:r>
    </w:p>
    <w:p w:rsidR="0090223C" w:rsidRDefault="00DA622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взаимодействие со странами Азии в Тюмени даже в рамках политики «Поворота на Восток» скорее исключение, чем правило. Конечно, в Тюмени открыты представительства нескольких китайских компаний, но это «временные» офисы, закрытые по 9 месяцев в году. При этом центральной является мысль, что 40 000 китайцев, проживающих в соседнем Екатеринбурге, скорее угроза, чем возможность для развития экономики.</w:t>
      </w:r>
    </w:p>
    <w:sectPr w:rsidR="0090223C" w:rsidSect="0090223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BA" w:rsidRDefault="007F3FBA" w:rsidP="0090223C">
      <w:r>
        <w:separator/>
      </w:r>
    </w:p>
  </w:endnote>
  <w:endnote w:type="continuationSeparator" w:id="0">
    <w:p w:rsidR="007F3FBA" w:rsidRDefault="007F3FBA" w:rsidP="0090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3C" w:rsidRDefault="009022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BA" w:rsidRDefault="007F3FBA" w:rsidP="0090223C">
      <w:r>
        <w:separator/>
      </w:r>
    </w:p>
  </w:footnote>
  <w:footnote w:type="continuationSeparator" w:id="0">
    <w:p w:rsidR="007F3FBA" w:rsidRDefault="007F3FBA" w:rsidP="00902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3C" w:rsidRDefault="009022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8BF"/>
    <w:multiLevelType w:val="hybridMultilevel"/>
    <w:tmpl w:val="B268C078"/>
    <w:styleLink w:val="a"/>
    <w:lvl w:ilvl="0" w:tplc="6740A310">
      <w:start w:val="1"/>
      <w:numFmt w:val="decimal"/>
      <w:lvlText w:val="%1)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8ED3B0">
      <w:start w:val="1"/>
      <w:numFmt w:val="decimal"/>
      <w:lvlText w:val="%2)"/>
      <w:lvlJc w:val="left"/>
      <w:pPr>
        <w:tabs>
          <w:tab w:val="num" w:pos="1385"/>
        </w:tabs>
        <w:ind w:left="8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AA94A4">
      <w:start w:val="1"/>
      <w:numFmt w:val="decimal"/>
      <w:lvlText w:val="%3)"/>
      <w:lvlJc w:val="left"/>
      <w:pPr>
        <w:tabs>
          <w:tab w:val="num" w:pos="1745"/>
        </w:tabs>
        <w:ind w:left="11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2B46A">
      <w:start w:val="1"/>
      <w:numFmt w:val="decimal"/>
      <w:lvlText w:val="%4)"/>
      <w:lvlJc w:val="left"/>
      <w:pPr>
        <w:tabs>
          <w:tab w:val="num" w:pos="2105"/>
        </w:tabs>
        <w:ind w:left="15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4FCF0">
      <w:start w:val="1"/>
      <w:numFmt w:val="decimal"/>
      <w:lvlText w:val="%5)"/>
      <w:lvlJc w:val="left"/>
      <w:pPr>
        <w:tabs>
          <w:tab w:val="num" w:pos="2465"/>
        </w:tabs>
        <w:ind w:left="189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CBB84">
      <w:start w:val="1"/>
      <w:numFmt w:val="decimal"/>
      <w:lvlText w:val="%6)"/>
      <w:lvlJc w:val="left"/>
      <w:pPr>
        <w:tabs>
          <w:tab w:val="num" w:pos="2825"/>
        </w:tabs>
        <w:ind w:left="22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9AFFBC">
      <w:start w:val="1"/>
      <w:numFmt w:val="decimal"/>
      <w:lvlText w:val="%7)"/>
      <w:lvlJc w:val="left"/>
      <w:pPr>
        <w:tabs>
          <w:tab w:val="num" w:pos="3185"/>
        </w:tabs>
        <w:ind w:left="26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2FACA">
      <w:start w:val="1"/>
      <w:numFmt w:val="decimal"/>
      <w:lvlText w:val="%8)"/>
      <w:lvlJc w:val="left"/>
      <w:pPr>
        <w:tabs>
          <w:tab w:val="num" w:pos="3545"/>
        </w:tabs>
        <w:ind w:left="29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69B82">
      <w:start w:val="1"/>
      <w:numFmt w:val="decimal"/>
      <w:lvlText w:val="%9)"/>
      <w:lvlJc w:val="left"/>
      <w:pPr>
        <w:tabs>
          <w:tab w:val="num" w:pos="3905"/>
        </w:tabs>
        <w:ind w:left="33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E2D5C72"/>
    <w:multiLevelType w:val="hybridMultilevel"/>
    <w:tmpl w:val="B268C078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3C"/>
    <w:rsid w:val="0000132A"/>
    <w:rsid w:val="00196C51"/>
    <w:rsid w:val="00326CC1"/>
    <w:rsid w:val="00360C9A"/>
    <w:rsid w:val="00363D1B"/>
    <w:rsid w:val="00491018"/>
    <w:rsid w:val="00650405"/>
    <w:rsid w:val="007F3FBA"/>
    <w:rsid w:val="0090223C"/>
    <w:rsid w:val="00C04C8D"/>
    <w:rsid w:val="00D9703C"/>
    <w:rsid w:val="00DA6227"/>
    <w:rsid w:val="00F4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0223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0223C"/>
    <w:rPr>
      <w:u w:val="single"/>
    </w:rPr>
  </w:style>
  <w:style w:type="table" w:customStyle="1" w:styleId="TableNormal">
    <w:name w:val="Table Normal"/>
    <w:rsid w:val="009022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sid w:val="0090223C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4"/>
    <w:rsid w:val="0090223C"/>
    <w:rPr>
      <w:u w:val="single"/>
    </w:rPr>
  </w:style>
  <w:style w:type="numbering" w:customStyle="1" w:styleId="a">
    <w:name w:val="С буквами"/>
    <w:rsid w:val="0090223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>FENU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Perevertov_I_A</cp:lastModifiedBy>
  <cp:revision>2</cp:revision>
  <dcterms:created xsi:type="dcterms:W3CDTF">2016-11-30T15:02:00Z</dcterms:created>
  <dcterms:modified xsi:type="dcterms:W3CDTF">2016-11-30T15:02:00Z</dcterms:modified>
</cp:coreProperties>
</file>