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C21CBC" w14:textId="77777777" w:rsidR="00077D47" w:rsidRDefault="00077D47" w:rsidP="00077D47">
      <w:pPr>
        <w:spacing w:after="0" w:line="240" w:lineRule="auto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 xml:space="preserve">Цибулина Анна Николаевна </w:t>
      </w:r>
    </w:p>
    <w:p w14:paraId="1ED529F9" w14:textId="77777777" w:rsidR="00077D47" w:rsidRDefault="00077D47" w:rsidP="00077D47">
      <w:pPr>
        <w:spacing w:after="0" w:line="240" w:lineRule="auto"/>
        <w:rPr>
          <w:rFonts w:ascii="Arial Narrow" w:hAnsi="Arial Narrow" w:cs="Times New Roman"/>
          <w:b/>
          <w:sz w:val="24"/>
          <w:szCs w:val="24"/>
        </w:rPr>
      </w:pPr>
    </w:p>
    <w:p w14:paraId="72B7E87B" w14:textId="77777777" w:rsidR="00077D47" w:rsidRPr="00077D47" w:rsidRDefault="00077D47" w:rsidP="00077D47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077D47">
        <w:rPr>
          <w:rFonts w:ascii="Arial Narrow" w:hAnsi="Arial Narrow" w:cs="Times New Roman"/>
          <w:sz w:val="24"/>
          <w:szCs w:val="24"/>
        </w:rPr>
        <w:t xml:space="preserve">доцент Кафедры </w:t>
      </w:r>
    </w:p>
    <w:p w14:paraId="145EAB46" w14:textId="77777777" w:rsidR="00077D47" w:rsidRPr="00077D47" w:rsidRDefault="00077D47" w:rsidP="00077D47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077D47">
        <w:rPr>
          <w:rFonts w:ascii="Arial Narrow" w:hAnsi="Arial Narrow" w:cs="Times New Roman"/>
          <w:sz w:val="24"/>
          <w:szCs w:val="24"/>
        </w:rPr>
        <w:t>Интеграционных процессов МГИМО МИД России</w:t>
      </w:r>
    </w:p>
    <w:p w14:paraId="0EDD682F" w14:textId="77777777" w:rsidR="00077D47" w:rsidRPr="00077D47" w:rsidRDefault="00077D47" w:rsidP="00077D47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077D47">
        <w:rPr>
          <w:rFonts w:ascii="Arial Narrow" w:hAnsi="Arial Narrow" w:cs="Times New Roman"/>
          <w:sz w:val="24"/>
          <w:szCs w:val="24"/>
        </w:rPr>
        <w:t>119454, Российская Федерация, Москва,</w:t>
      </w:r>
    </w:p>
    <w:p w14:paraId="5EF29F0D" w14:textId="77777777" w:rsidR="00077D47" w:rsidRPr="00077D47" w:rsidRDefault="00077D47" w:rsidP="00077D47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077D47">
        <w:rPr>
          <w:rFonts w:ascii="Arial Narrow" w:hAnsi="Arial Narrow" w:cs="Times New Roman"/>
          <w:sz w:val="24"/>
          <w:szCs w:val="24"/>
        </w:rPr>
        <w:t>проспект Вернадского 76.</w:t>
      </w:r>
    </w:p>
    <w:p w14:paraId="1CCC969B" w14:textId="77777777" w:rsidR="00077D47" w:rsidRDefault="00077D47" w:rsidP="00077D47">
      <w:pPr>
        <w:spacing w:after="0" w:line="240" w:lineRule="auto"/>
        <w:rPr>
          <w:rFonts w:ascii="Arial Narrow" w:hAnsi="Arial Narrow" w:cs="Times New Roman"/>
          <w:b/>
          <w:sz w:val="24"/>
          <w:szCs w:val="24"/>
        </w:rPr>
      </w:pPr>
    </w:p>
    <w:p w14:paraId="6FBA8CD3" w14:textId="77777777" w:rsidR="00077D47" w:rsidRDefault="00077D47" w:rsidP="00077D47">
      <w:pPr>
        <w:spacing w:after="0" w:line="240" w:lineRule="auto"/>
        <w:rPr>
          <w:rFonts w:ascii="Arial Narrow" w:hAnsi="Arial Narrow" w:cs="Times New Roman"/>
          <w:b/>
          <w:sz w:val="24"/>
          <w:szCs w:val="24"/>
        </w:rPr>
      </w:pPr>
    </w:p>
    <w:p w14:paraId="62B976A8" w14:textId="77777777" w:rsidR="00077D47" w:rsidRPr="00077D47" w:rsidRDefault="00077D47" w:rsidP="00077D47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 w:rsidRPr="00077D47">
        <w:rPr>
          <w:rFonts w:ascii="Arial Narrow" w:hAnsi="Arial Narrow" w:cs="Times New Roman"/>
          <w:b/>
          <w:sz w:val="24"/>
          <w:szCs w:val="24"/>
        </w:rPr>
        <w:t>Секция 1.5 Россия и современные интеграционные процессы</w:t>
      </w:r>
    </w:p>
    <w:p w14:paraId="0009FC8D" w14:textId="77777777" w:rsidR="00077D47" w:rsidRDefault="00077D47">
      <w:pPr>
        <w:rPr>
          <w:rFonts w:ascii="Arial Narrow" w:hAnsi="Arial Narrow" w:cs="Arial"/>
          <w:color w:val="191919"/>
          <w:sz w:val="24"/>
          <w:szCs w:val="24"/>
        </w:rPr>
      </w:pPr>
    </w:p>
    <w:p w14:paraId="1A2A67D2" w14:textId="77777777" w:rsidR="003F14B3" w:rsidRPr="00D907B3" w:rsidRDefault="00077D47" w:rsidP="00D907B3">
      <w:pPr>
        <w:jc w:val="center"/>
        <w:rPr>
          <w:rFonts w:ascii="Arial Narrow" w:hAnsi="Arial Narrow" w:cs="Arial"/>
          <w:b/>
          <w:color w:val="191919"/>
          <w:sz w:val="24"/>
          <w:szCs w:val="24"/>
        </w:rPr>
      </w:pPr>
      <w:r w:rsidRPr="00D907B3">
        <w:rPr>
          <w:rFonts w:ascii="Arial Narrow" w:hAnsi="Arial Narrow" w:cs="Arial"/>
          <w:b/>
          <w:color w:val="191919"/>
          <w:sz w:val="24"/>
          <w:szCs w:val="24"/>
        </w:rPr>
        <w:t>Вклад ЕС в развитие глобального мак</w:t>
      </w:r>
      <w:r w:rsidRPr="00D907B3">
        <w:rPr>
          <w:rFonts w:ascii="Arial Narrow" w:hAnsi="Arial Narrow" w:cs="Arial"/>
          <w:b/>
          <w:color w:val="191919"/>
          <w:sz w:val="24"/>
          <w:szCs w:val="24"/>
        </w:rPr>
        <w:t>ропруденциального регулирования</w:t>
      </w:r>
      <w:r w:rsidR="002672F8">
        <w:rPr>
          <w:rStyle w:val="a5"/>
          <w:rFonts w:ascii="Arial Narrow" w:hAnsi="Arial Narrow" w:cs="Arial"/>
          <w:b/>
          <w:color w:val="191919"/>
          <w:sz w:val="24"/>
          <w:szCs w:val="24"/>
        </w:rPr>
        <w:footnoteReference w:id="1"/>
      </w:r>
    </w:p>
    <w:p w14:paraId="67DD986A" w14:textId="77777777" w:rsidR="003F14B3" w:rsidRPr="00D73692" w:rsidRDefault="003F14B3" w:rsidP="003F14B3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73692">
        <w:rPr>
          <w:rFonts w:ascii="Times New Roman" w:hAnsi="Times New Roman"/>
          <w:sz w:val="24"/>
          <w:szCs w:val="24"/>
        </w:rPr>
        <w:t>Глобальный финансовый и экономический кризис 2008 г. поставил под сомнение эффективность главенствующего на тот момент среди представителей центральных банков и регулирующих органов подхода к осуществлению финансового контроля, который сводился к анализу надежности  финансовых институтов и финансовых инструментов по отдельности, т.е. проводился мик</w:t>
      </w:r>
      <w:r w:rsidR="00D907B3">
        <w:rPr>
          <w:rFonts w:ascii="Times New Roman" w:hAnsi="Times New Roman"/>
          <w:sz w:val="24"/>
          <w:szCs w:val="24"/>
        </w:rPr>
        <w:t>ропруденциальный надзор.  К</w:t>
      </w:r>
      <w:r w:rsidRPr="00D73692">
        <w:rPr>
          <w:rFonts w:ascii="Times New Roman" w:hAnsi="Times New Roman"/>
          <w:sz w:val="24"/>
          <w:szCs w:val="24"/>
        </w:rPr>
        <w:t>ризис показал, что в целом система финансовых институтов может вести себя отлично от отдельных ее элементов как то б</w:t>
      </w:r>
      <w:r w:rsidR="00D907B3">
        <w:rPr>
          <w:rFonts w:ascii="Times New Roman" w:hAnsi="Times New Roman"/>
          <w:sz w:val="24"/>
          <w:szCs w:val="24"/>
        </w:rPr>
        <w:t xml:space="preserve">анков или инвестиционных фондов, а </w:t>
      </w:r>
      <w:r w:rsidRPr="00D73692">
        <w:rPr>
          <w:rFonts w:ascii="Times New Roman" w:hAnsi="Times New Roman"/>
          <w:sz w:val="24"/>
          <w:szCs w:val="24"/>
        </w:rPr>
        <w:t xml:space="preserve">в поле зрения контролирующих органов и самих финансовых институтов не входила оценка угрозы «системного риска», который и является предвестником финансовой нестабильности и финансовых кризисов. Понятие </w:t>
      </w:r>
      <w:r w:rsidR="00D907B3">
        <w:rPr>
          <w:rFonts w:ascii="Times New Roman" w:hAnsi="Times New Roman"/>
          <w:sz w:val="24"/>
          <w:szCs w:val="24"/>
        </w:rPr>
        <w:t>«</w:t>
      </w:r>
      <w:r w:rsidRPr="00D73692">
        <w:rPr>
          <w:rFonts w:ascii="Times New Roman" w:hAnsi="Times New Roman"/>
          <w:sz w:val="24"/>
          <w:szCs w:val="24"/>
        </w:rPr>
        <w:t>системного риска</w:t>
      </w:r>
      <w:r w:rsidR="00D907B3">
        <w:rPr>
          <w:rFonts w:ascii="Times New Roman" w:hAnsi="Times New Roman"/>
          <w:sz w:val="24"/>
          <w:szCs w:val="24"/>
        </w:rPr>
        <w:t>»</w:t>
      </w:r>
      <w:r w:rsidRPr="00D73692">
        <w:rPr>
          <w:rFonts w:ascii="Times New Roman" w:hAnsi="Times New Roman"/>
          <w:sz w:val="24"/>
          <w:szCs w:val="24"/>
        </w:rPr>
        <w:t xml:space="preserve"> как раз находится в центре внимания  концепции макр</w:t>
      </w:r>
      <w:r>
        <w:rPr>
          <w:rFonts w:ascii="Times New Roman" w:hAnsi="Times New Roman"/>
          <w:sz w:val="24"/>
          <w:szCs w:val="24"/>
        </w:rPr>
        <w:t xml:space="preserve">опруденциального регулирования. </w:t>
      </w:r>
      <w:r w:rsidRPr="00D73692">
        <w:rPr>
          <w:rFonts w:ascii="Times New Roman" w:hAnsi="Times New Roman"/>
          <w:sz w:val="24"/>
          <w:szCs w:val="24"/>
        </w:rPr>
        <w:t>Регулирующие органы как на национальном так и на глобальном уровнях приступили к выработке инструментов макропруденциальной политики.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3B2CF9B0" w14:textId="77777777" w:rsidR="003F14B3" w:rsidRPr="00D73692" w:rsidRDefault="003F14B3" w:rsidP="003F14B3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73692">
        <w:rPr>
          <w:rFonts w:ascii="Times New Roman" w:hAnsi="Times New Roman"/>
          <w:sz w:val="24"/>
          <w:szCs w:val="24"/>
        </w:rPr>
        <w:t>В 2009 г. был подг</w:t>
      </w:r>
      <w:r>
        <w:rPr>
          <w:rFonts w:ascii="Times New Roman" w:hAnsi="Times New Roman"/>
          <w:sz w:val="24"/>
          <w:szCs w:val="24"/>
        </w:rPr>
        <w:t>отовлен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3692">
        <w:rPr>
          <w:rFonts w:ascii="Times New Roman" w:hAnsi="Times New Roman"/>
          <w:sz w:val="24"/>
          <w:szCs w:val="24"/>
        </w:rPr>
        <w:t xml:space="preserve">ряд </w:t>
      </w:r>
      <w:r w:rsidR="00D907B3">
        <w:rPr>
          <w:rFonts w:ascii="Times New Roman" w:hAnsi="Times New Roman"/>
          <w:sz w:val="24"/>
          <w:szCs w:val="24"/>
        </w:rPr>
        <w:t xml:space="preserve">аналитических </w:t>
      </w:r>
      <w:r w:rsidRPr="00D73692">
        <w:rPr>
          <w:rFonts w:ascii="Times New Roman" w:hAnsi="Times New Roman"/>
          <w:sz w:val="24"/>
          <w:szCs w:val="24"/>
        </w:rPr>
        <w:t>докладов</w:t>
      </w:r>
      <w:r w:rsidR="00D907B3">
        <w:rPr>
          <w:rFonts w:ascii="Times New Roman" w:hAnsi="Times New Roman"/>
          <w:sz w:val="24"/>
          <w:szCs w:val="24"/>
        </w:rPr>
        <w:t xml:space="preserve"> международных организаций</w:t>
      </w:r>
      <w:r w:rsidRPr="00D73692">
        <w:rPr>
          <w:rFonts w:ascii="Times New Roman" w:hAnsi="Times New Roman"/>
          <w:sz w:val="24"/>
          <w:szCs w:val="24"/>
        </w:rPr>
        <w:t>, посвященных проблематике мак</w:t>
      </w:r>
      <w:r w:rsidR="00D907B3">
        <w:rPr>
          <w:rFonts w:ascii="Times New Roman" w:hAnsi="Times New Roman"/>
          <w:sz w:val="24"/>
          <w:szCs w:val="24"/>
        </w:rPr>
        <w:t>ропруденциального регулирования,</w:t>
      </w:r>
      <w:r w:rsidRPr="00D73692">
        <w:rPr>
          <w:rFonts w:ascii="Times New Roman" w:hAnsi="Times New Roman"/>
          <w:sz w:val="24"/>
          <w:szCs w:val="24"/>
        </w:rPr>
        <w:t xml:space="preserve"> </w:t>
      </w:r>
      <w:r w:rsidR="00D907B3">
        <w:rPr>
          <w:rFonts w:ascii="Times New Roman" w:hAnsi="Times New Roman"/>
          <w:sz w:val="24"/>
          <w:szCs w:val="24"/>
        </w:rPr>
        <w:t>которые</w:t>
      </w:r>
      <w:r w:rsidRPr="00D73692">
        <w:rPr>
          <w:rFonts w:ascii="Times New Roman" w:hAnsi="Times New Roman"/>
          <w:sz w:val="24"/>
          <w:szCs w:val="24"/>
        </w:rPr>
        <w:t xml:space="preserve"> заложили основу для проведения макропруденциальной политики на современном этапе. </w:t>
      </w:r>
    </w:p>
    <w:p w14:paraId="47739AC5" w14:textId="77777777" w:rsidR="003F14B3" w:rsidRPr="00D73692" w:rsidRDefault="003F14B3" w:rsidP="003F14B3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73692">
        <w:rPr>
          <w:rFonts w:ascii="Times New Roman" w:hAnsi="Times New Roman"/>
          <w:sz w:val="24"/>
          <w:szCs w:val="24"/>
        </w:rPr>
        <w:t>Функции по мониторингу, координации и оценке результатов предпринимаемых усилий национальных органов по созданию системы макропруденциального регулирования были возложены лидерами Группы 20-ти н</w:t>
      </w:r>
      <w:r w:rsidR="00D907B3">
        <w:rPr>
          <w:rFonts w:ascii="Times New Roman" w:hAnsi="Times New Roman"/>
          <w:sz w:val="24"/>
          <w:szCs w:val="24"/>
        </w:rPr>
        <w:t xml:space="preserve">а Совет финансовой стабильности. </w:t>
      </w:r>
      <w:r w:rsidRPr="00D73692">
        <w:rPr>
          <w:rFonts w:ascii="Times New Roman" w:hAnsi="Times New Roman"/>
          <w:sz w:val="24"/>
          <w:szCs w:val="24"/>
        </w:rPr>
        <w:t>В 2011 г. был опубликован первый совместный доклад, подготовленный сотрудниками СФС, МВФ и БМР об инструментах и основах организации макропруденциального регулирования</w:t>
      </w:r>
      <w:r w:rsidRPr="00D73692">
        <w:rPr>
          <w:rStyle w:val="a5"/>
          <w:rFonts w:ascii="Times New Roman" w:hAnsi="Times New Roman"/>
          <w:sz w:val="24"/>
          <w:szCs w:val="24"/>
        </w:rPr>
        <w:footnoteReference w:id="2"/>
      </w:r>
      <w:r w:rsidRPr="00D73692">
        <w:rPr>
          <w:rFonts w:ascii="Times New Roman" w:hAnsi="Times New Roman"/>
          <w:sz w:val="24"/>
          <w:szCs w:val="24"/>
        </w:rPr>
        <w:t xml:space="preserve"> как на глобальном, так и на национальном уровнях. </w:t>
      </w:r>
    </w:p>
    <w:p w14:paraId="39055C7F" w14:textId="77777777" w:rsidR="003F14B3" w:rsidRPr="00D73692" w:rsidRDefault="003F14B3" w:rsidP="002672F8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73692">
        <w:rPr>
          <w:rFonts w:ascii="Times New Roman" w:hAnsi="Times New Roman"/>
          <w:sz w:val="24"/>
          <w:szCs w:val="24"/>
        </w:rPr>
        <w:t xml:space="preserve">На момент начала широкого обсуждения вопросов макропруденциального регулирования на международной арене ЕС не имел официального представительства в </w:t>
      </w:r>
      <w:r w:rsidRPr="00D73692">
        <w:rPr>
          <w:rFonts w:ascii="Times New Roman" w:hAnsi="Times New Roman"/>
          <w:sz w:val="24"/>
          <w:szCs w:val="24"/>
        </w:rPr>
        <w:lastRenderedPageBreak/>
        <w:t>рабочих группах Форума финансовой стабильности (ФФС), которые готовили предложения для Саммита Группы 20-ти в 2009 г. В разработке предложений, таким образом, участвовали представители центральных банков, министерств финансов и надзорных органов государств-членов Группы семи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3692">
        <w:rPr>
          <w:rFonts w:ascii="Times New Roman" w:hAnsi="Times New Roman"/>
          <w:sz w:val="24"/>
          <w:szCs w:val="24"/>
        </w:rPr>
        <w:t xml:space="preserve">четыре из которых – Великобритания, Германия, Италия и Франция – являлись государствами-членами ЕС. Таким образом, можно предложить, что влияние ЕС в этом вопросе было преимущественно косвенным, посредством участия европейских чиновников и экспертов при подготовке документов. Ситуация несколько изменилась, когда в 2009 г. было принято решение о включении Европейской комиссии (ЕК), а также Испании в состав участников СФС. </w:t>
      </w:r>
    </w:p>
    <w:p w14:paraId="1DBA4151" w14:textId="77777777" w:rsidR="003F14B3" w:rsidRPr="00D73692" w:rsidRDefault="003F14B3" w:rsidP="003F14B3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73692">
        <w:rPr>
          <w:rFonts w:ascii="Times New Roman" w:hAnsi="Times New Roman"/>
          <w:sz w:val="24"/>
          <w:szCs w:val="24"/>
        </w:rPr>
        <w:t>Как отмечают некоторые исследователи</w:t>
      </w:r>
      <w:r w:rsidRPr="00D73692">
        <w:rPr>
          <w:rStyle w:val="a5"/>
          <w:rFonts w:ascii="Times New Roman" w:hAnsi="Times New Roman"/>
          <w:sz w:val="24"/>
          <w:szCs w:val="24"/>
        </w:rPr>
        <w:footnoteReference w:id="3"/>
      </w:r>
      <w:r w:rsidRPr="00D73692">
        <w:rPr>
          <w:rFonts w:ascii="Times New Roman" w:hAnsi="Times New Roman"/>
          <w:sz w:val="24"/>
          <w:szCs w:val="24"/>
        </w:rPr>
        <w:t>, при обсуждении представителями центральных банков общих принципов и методов макропруденциальной политики и других «широких» вопросов, участники переговоров зачастую в большей степени абстрагируются от своей национальной и институциональной принадлежности, чем при обсуждении конкретных предложений и соглашений. Таким образом, происходит «онаучивание» (</w:t>
      </w:r>
      <w:r w:rsidRPr="00D73692">
        <w:rPr>
          <w:rFonts w:ascii="Times New Roman" w:hAnsi="Times New Roman"/>
          <w:sz w:val="24"/>
          <w:szCs w:val="24"/>
          <w:lang w:val="en-US"/>
        </w:rPr>
        <w:t>scientization</w:t>
      </w:r>
      <w:r w:rsidRPr="00D73692">
        <w:rPr>
          <w:rFonts w:ascii="Times New Roman" w:hAnsi="Times New Roman"/>
          <w:sz w:val="24"/>
          <w:szCs w:val="24"/>
        </w:rPr>
        <w:t>)</w:t>
      </w:r>
      <w:r w:rsidRPr="00D73692">
        <w:rPr>
          <w:rStyle w:val="a5"/>
          <w:rFonts w:ascii="Times New Roman" w:hAnsi="Times New Roman"/>
          <w:sz w:val="24"/>
          <w:szCs w:val="24"/>
        </w:rPr>
        <w:footnoteReference w:id="4"/>
      </w:r>
      <w:r w:rsidRPr="00D73692">
        <w:rPr>
          <w:rFonts w:ascii="Times New Roman" w:hAnsi="Times New Roman"/>
          <w:sz w:val="24"/>
          <w:szCs w:val="24"/>
        </w:rPr>
        <w:t xml:space="preserve"> среды работников центральных банков, посредством их участия в различных исследовательских проектах, подготовке публикаций в издаваемых центральными банками специализированных журналов, участия в научных конференциях и курсах повышения квалификации. В связи с этим, участие ЕС в глобальном макропруденциальном регулировании можно рассматривать как вклад индивидуальных европейских чиновников, экспертов и исследователей в </w:t>
      </w:r>
      <w:r w:rsidRPr="00C1675D">
        <w:rPr>
          <w:rFonts w:ascii="Times New Roman" w:hAnsi="Times New Roman"/>
          <w:sz w:val="24"/>
          <w:szCs w:val="24"/>
        </w:rPr>
        <w:t>академический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3692">
        <w:rPr>
          <w:rFonts w:ascii="Times New Roman" w:hAnsi="Times New Roman"/>
          <w:sz w:val="24"/>
          <w:szCs w:val="24"/>
        </w:rPr>
        <w:t xml:space="preserve">дискурс о макропрденциальности. </w:t>
      </w:r>
    </w:p>
    <w:p w14:paraId="0D68775A" w14:textId="77777777" w:rsidR="003F14B3" w:rsidRPr="002672F8" w:rsidRDefault="003F14B3" w:rsidP="002672F8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73692">
        <w:rPr>
          <w:rFonts w:ascii="Times New Roman" w:hAnsi="Times New Roman"/>
          <w:sz w:val="24"/>
          <w:szCs w:val="24"/>
        </w:rPr>
        <w:t xml:space="preserve">Реализация макропруденциального регулироивания в ЕС осложняется целым рядом факторов. Во-первых, работа ЕССС во многом зависит от стремления национальных регулирующих органов противодействовать угрозе системного риска и следовать данным свыше Во-вторых, термины «макропруденциальный» и «системный риск» не вполне определенно закреплены в нормативных актах ЕС, а именно не сформулировано всеобъемлющего юридического определения «макропруденциальности». И, наконец, до сих пор имеющиеся существенные различия </w:t>
      </w:r>
      <w:r w:rsidRPr="00C1675D">
        <w:rPr>
          <w:rFonts w:ascii="Times New Roman" w:hAnsi="Times New Roman"/>
          <w:sz w:val="24"/>
          <w:szCs w:val="24"/>
        </w:rPr>
        <w:t>национальных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3692">
        <w:rPr>
          <w:rFonts w:ascii="Times New Roman" w:hAnsi="Times New Roman"/>
          <w:sz w:val="24"/>
          <w:szCs w:val="24"/>
        </w:rPr>
        <w:t xml:space="preserve">финансовых систем, а также структурные различия экономик государств-членов могут мешать выработке общих подходов к проведению макропруденциальной политики.   </w:t>
      </w:r>
    </w:p>
    <w:p w14:paraId="7BB770A3" w14:textId="77777777" w:rsidR="003F14B3" w:rsidRDefault="003F14B3" w:rsidP="003F14B3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73692">
        <w:rPr>
          <w:rFonts w:ascii="Times New Roman" w:hAnsi="Times New Roman"/>
          <w:sz w:val="24"/>
          <w:szCs w:val="24"/>
        </w:rPr>
        <w:t xml:space="preserve">Противоречия </w:t>
      </w:r>
      <w:r w:rsidRPr="00C1675D">
        <w:rPr>
          <w:rFonts w:ascii="Times New Roman" w:hAnsi="Times New Roman"/>
          <w:sz w:val="24"/>
          <w:szCs w:val="24"/>
        </w:rPr>
        <w:t>между странами ЕС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3692">
        <w:rPr>
          <w:rFonts w:ascii="Times New Roman" w:hAnsi="Times New Roman"/>
          <w:sz w:val="24"/>
          <w:szCs w:val="24"/>
        </w:rPr>
        <w:t>возникали и возникают не только в подходах к инструментам и методам организации макропруденциального регулирования внутри ЕС, эти противоречия становятся очевидными и на уровне глобального управления. Наиболее явно отсутствие общей позиции государств-членов ЕС проявилось при обсуждении параметров соглашения Базель-3 в части касающейся макропруденциальных норм. Попыткой усилить влияние ЕС в сфере глобального макропруденциального регулирования можно считать инициативу Европейского центрального банка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C1675D">
        <w:rPr>
          <w:rFonts w:ascii="Times New Roman" w:hAnsi="Times New Roman"/>
          <w:sz w:val="24"/>
          <w:szCs w:val="24"/>
        </w:rPr>
        <w:t>предпринятую</w:t>
      </w:r>
      <w:r w:rsidRPr="00D73692">
        <w:rPr>
          <w:rFonts w:ascii="Times New Roman" w:hAnsi="Times New Roman"/>
          <w:sz w:val="24"/>
          <w:szCs w:val="24"/>
        </w:rPr>
        <w:t xml:space="preserve">  совместно с </w:t>
      </w:r>
      <w:r w:rsidRPr="00C1675D">
        <w:rPr>
          <w:rFonts w:ascii="Times New Roman" w:hAnsi="Times New Roman"/>
          <w:sz w:val="24"/>
          <w:szCs w:val="24"/>
        </w:rPr>
        <w:t>Е</w:t>
      </w:r>
      <w:r w:rsidRPr="00D73692">
        <w:rPr>
          <w:rFonts w:ascii="Times New Roman" w:hAnsi="Times New Roman"/>
          <w:sz w:val="24"/>
          <w:szCs w:val="24"/>
        </w:rPr>
        <w:t>вропейской системой центральных банков (ЕСЦБ) в 2010 г. о запуске макропруденциальной исследовательской сети (</w:t>
      </w:r>
      <w:r w:rsidRPr="00D73692">
        <w:rPr>
          <w:rFonts w:ascii="Times New Roman" w:hAnsi="Times New Roman"/>
          <w:sz w:val="24"/>
          <w:szCs w:val="24"/>
          <w:lang w:val="en-US"/>
        </w:rPr>
        <w:t>Macroprudential</w:t>
      </w:r>
      <w:r w:rsidRPr="00D73692">
        <w:rPr>
          <w:rFonts w:ascii="Times New Roman" w:hAnsi="Times New Roman"/>
          <w:sz w:val="24"/>
          <w:szCs w:val="24"/>
        </w:rPr>
        <w:t xml:space="preserve"> </w:t>
      </w:r>
      <w:r w:rsidRPr="00D73692">
        <w:rPr>
          <w:rFonts w:ascii="Times New Roman" w:hAnsi="Times New Roman"/>
          <w:sz w:val="24"/>
          <w:szCs w:val="24"/>
          <w:lang w:val="en-US"/>
        </w:rPr>
        <w:t>Research</w:t>
      </w:r>
      <w:r w:rsidRPr="00D73692">
        <w:rPr>
          <w:rFonts w:ascii="Times New Roman" w:hAnsi="Times New Roman"/>
          <w:sz w:val="24"/>
          <w:szCs w:val="24"/>
        </w:rPr>
        <w:t xml:space="preserve"> </w:t>
      </w:r>
      <w:r w:rsidRPr="00D73692">
        <w:rPr>
          <w:rFonts w:ascii="Times New Roman" w:hAnsi="Times New Roman"/>
          <w:sz w:val="24"/>
          <w:szCs w:val="24"/>
          <w:lang w:val="en-US"/>
        </w:rPr>
        <w:t>Network</w:t>
      </w:r>
      <w:r w:rsidRPr="00D73692">
        <w:rPr>
          <w:rFonts w:ascii="Times New Roman" w:hAnsi="Times New Roman"/>
          <w:sz w:val="24"/>
          <w:szCs w:val="24"/>
        </w:rPr>
        <w:t xml:space="preserve"> -  </w:t>
      </w:r>
      <w:r w:rsidRPr="00D73692">
        <w:rPr>
          <w:rFonts w:ascii="Times New Roman" w:hAnsi="Times New Roman"/>
          <w:sz w:val="24"/>
          <w:szCs w:val="24"/>
          <w:lang w:val="en-US"/>
        </w:rPr>
        <w:t>MaRS</w:t>
      </w:r>
      <w:r w:rsidRPr="00D73692">
        <w:rPr>
          <w:rFonts w:ascii="Times New Roman" w:hAnsi="Times New Roman"/>
          <w:sz w:val="24"/>
          <w:szCs w:val="24"/>
        </w:rPr>
        <w:t xml:space="preserve">). </w:t>
      </w:r>
    </w:p>
    <w:p w14:paraId="47691F37" w14:textId="77777777" w:rsidR="003F14B3" w:rsidRPr="003F14B3" w:rsidRDefault="003F14B3" w:rsidP="003F14B3">
      <w:pPr>
        <w:jc w:val="both"/>
        <w:rPr>
          <w:rFonts w:ascii="Arial Narrow" w:hAnsi="Arial Narrow" w:cs="Arial"/>
          <w:color w:val="191919"/>
          <w:sz w:val="24"/>
          <w:szCs w:val="24"/>
        </w:rPr>
      </w:pPr>
    </w:p>
    <w:p w14:paraId="26DF6084" w14:textId="77777777" w:rsidR="00077D47" w:rsidRPr="00077D47" w:rsidRDefault="00077D47">
      <w:pPr>
        <w:rPr>
          <w:rFonts w:ascii="Arial Narrow" w:hAnsi="Arial Narrow"/>
          <w:sz w:val="24"/>
          <w:szCs w:val="24"/>
        </w:rPr>
      </w:pPr>
    </w:p>
    <w:sectPr w:rsidR="00077D47" w:rsidRPr="00077D47" w:rsidSect="007C4A5B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152221" w14:textId="77777777" w:rsidR="000A1951" w:rsidRDefault="000A1951" w:rsidP="003F14B3">
      <w:pPr>
        <w:spacing w:after="0" w:line="240" w:lineRule="auto"/>
      </w:pPr>
      <w:r>
        <w:separator/>
      </w:r>
    </w:p>
  </w:endnote>
  <w:endnote w:type="continuationSeparator" w:id="0">
    <w:p w14:paraId="15403EA3" w14:textId="77777777" w:rsidR="000A1951" w:rsidRDefault="000A1951" w:rsidP="003F1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d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196CFD" w14:textId="77777777" w:rsidR="000A1951" w:rsidRDefault="000A1951" w:rsidP="003F14B3">
      <w:pPr>
        <w:spacing w:after="0" w:line="240" w:lineRule="auto"/>
      </w:pPr>
      <w:r>
        <w:separator/>
      </w:r>
    </w:p>
  </w:footnote>
  <w:footnote w:type="continuationSeparator" w:id="0">
    <w:p w14:paraId="6837CCA3" w14:textId="77777777" w:rsidR="000A1951" w:rsidRDefault="000A1951" w:rsidP="003F14B3">
      <w:pPr>
        <w:spacing w:after="0" w:line="240" w:lineRule="auto"/>
      </w:pPr>
      <w:r>
        <w:continuationSeparator/>
      </w:r>
    </w:p>
  </w:footnote>
  <w:footnote w:id="1">
    <w:p w14:paraId="2E99F9D0" w14:textId="77777777" w:rsidR="002672F8" w:rsidRPr="002672F8" w:rsidRDefault="002672F8">
      <w:pPr>
        <w:pStyle w:val="a3"/>
        <w:rPr>
          <w:lang w:val="ru-RU"/>
        </w:rPr>
      </w:pPr>
      <w:r>
        <w:rPr>
          <w:rStyle w:val="a5"/>
        </w:rPr>
        <w:footnoteRef/>
      </w:r>
      <w:r>
        <w:t xml:space="preserve"> </w:t>
      </w:r>
      <w:r w:rsidRPr="00B1220C">
        <w:rPr>
          <w:rFonts w:ascii="Times New Roman" w:hAnsi="Times New Roman"/>
          <w:b/>
        </w:rPr>
        <w:t>Тезисы доклада выполнены в рамках гранта РГНФ «Участие Европейского Союза в глобальном хозяйственном управлении: организационный анализ» № 14-07-00046а</w:t>
      </w:r>
      <w:r>
        <w:rPr>
          <w:rFonts w:ascii="Times New Roman" w:hAnsi="Times New Roman"/>
          <w:b/>
        </w:rPr>
        <w:t>.</w:t>
      </w:r>
      <w:bookmarkStart w:id="0" w:name="_GoBack"/>
      <w:bookmarkEnd w:id="0"/>
    </w:p>
  </w:footnote>
  <w:footnote w:id="2">
    <w:p w14:paraId="64115B3B" w14:textId="77777777" w:rsidR="003F14B3" w:rsidRPr="00B57316" w:rsidRDefault="003F14B3" w:rsidP="003F14B3">
      <w:pPr>
        <w:pStyle w:val="a3"/>
      </w:pPr>
      <w:r>
        <w:rPr>
          <w:rStyle w:val="a5"/>
        </w:rPr>
        <w:footnoteRef/>
      </w:r>
      <w:r w:rsidRPr="00B57316">
        <w:rPr>
          <w:lang w:val="en-US"/>
        </w:rPr>
        <w:t xml:space="preserve"> Macroprudential policy tools and frameworks</w:t>
      </w:r>
      <w:r>
        <w:rPr>
          <w:lang w:val="en-US"/>
        </w:rPr>
        <w:t>:</w:t>
      </w:r>
      <w:r w:rsidRPr="00B57316">
        <w:rPr>
          <w:lang w:val="en-US"/>
        </w:rPr>
        <w:t xml:space="preserve"> Update to G20 Finance Ministers and Central Bank Governors</w:t>
      </w:r>
      <w:r>
        <w:rPr>
          <w:lang w:val="en-US"/>
        </w:rPr>
        <w:t xml:space="preserve">. Financial Stability Board, International Monetary Fund, Bank for International Settlements, 14 February 2011. </w:t>
      </w:r>
      <w:r>
        <w:t xml:space="preserve">Режим доступа: </w:t>
      </w:r>
      <w:hyperlink r:id="rId1" w:history="1">
        <w:r w:rsidRPr="00D60439">
          <w:rPr>
            <w:rStyle w:val="a6"/>
          </w:rPr>
          <w:t>http://www.fsb.org/wp-content/uploads/r_1103.pdf</w:t>
        </w:r>
      </w:hyperlink>
      <w:r>
        <w:t xml:space="preserve"> </w:t>
      </w:r>
    </w:p>
  </w:footnote>
  <w:footnote w:id="3">
    <w:p w14:paraId="08E5C8E5" w14:textId="77777777" w:rsidR="003F14B3" w:rsidRPr="000C7994" w:rsidRDefault="003F14B3" w:rsidP="003F14B3">
      <w:pPr>
        <w:pStyle w:val="a3"/>
      </w:pPr>
      <w:r>
        <w:rPr>
          <w:rStyle w:val="a5"/>
        </w:rPr>
        <w:footnoteRef/>
      </w:r>
      <w:r w:rsidRPr="005A5EE4">
        <w:rPr>
          <w:lang w:val="en-US"/>
        </w:rPr>
        <w:t xml:space="preserve"> </w:t>
      </w:r>
      <w:r>
        <w:rPr>
          <w:lang w:val="en-US"/>
        </w:rPr>
        <w:t xml:space="preserve">Baker A., The New Political Economy of the Macroprudential Ideational Shift, New Political Economy 18 (1), 2013. </w:t>
      </w:r>
      <w:r>
        <w:t xml:space="preserve">Режим доступа:   </w:t>
      </w:r>
      <w:hyperlink r:id="rId2" w:history="1">
        <w:r w:rsidRPr="0022084D">
          <w:rPr>
            <w:rStyle w:val="a6"/>
          </w:rPr>
          <w:t>http://pure.qub.ac.uk/portal/files/11586616/The_New_Political_Economy_of_Macroprudential_Regulation.pdf</w:t>
        </w:r>
      </w:hyperlink>
      <w:r>
        <w:t xml:space="preserve"> </w:t>
      </w:r>
    </w:p>
  </w:footnote>
  <w:footnote w:id="4">
    <w:p w14:paraId="7258A03A" w14:textId="77777777" w:rsidR="003F14B3" w:rsidRPr="00D84A9E" w:rsidRDefault="003F14B3" w:rsidP="003F14B3">
      <w:pPr>
        <w:pStyle w:val="a3"/>
        <w:rPr>
          <w:lang w:val="en-US"/>
        </w:rPr>
      </w:pPr>
      <w:r>
        <w:rPr>
          <w:rStyle w:val="a5"/>
        </w:rPr>
        <w:footnoteRef/>
      </w:r>
      <w:r w:rsidRPr="008F306C">
        <w:rPr>
          <w:lang w:val="en-US"/>
        </w:rPr>
        <w:t xml:space="preserve"> </w:t>
      </w:r>
      <w:r>
        <w:rPr>
          <w:lang w:val="en-US"/>
        </w:rPr>
        <w:t xml:space="preserve">Marcussen M., The Fifth Age of Central Banking in the Global Economy, Paper presented at the conference “Frontiers of Regulation, University of Bath, 7-8 September 2006. </w:t>
      </w:r>
      <w:r>
        <w:t>Режим</w:t>
      </w:r>
      <w:r w:rsidRPr="00D84A9E">
        <w:rPr>
          <w:lang w:val="en-US"/>
        </w:rPr>
        <w:t xml:space="preserve"> </w:t>
      </w:r>
      <w:r>
        <w:t>доступа</w:t>
      </w:r>
      <w:r w:rsidRPr="00D84A9E">
        <w:rPr>
          <w:lang w:val="en-US"/>
        </w:rPr>
        <w:t xml:space="preserve">: </w:t>
      </w:r>
      <w:hyperlink r:id="rId3" w:history="1">
        <w:r w:rsidRPr="00D84A9E">
          <w:rPr>
            <w:rStyle w:val="a6"/>
            <w:lang w:val="en-US"/>
          </w:rPr>
          <w:t>http://regulation.upf.edu/bath-06/21_Marcussen.pdf</w:t>
        </w:r>
      </w:hyperlink>
      <w:r w:rsidRPr="00D84A9E">
        <w:rPr>
          <w:lang w:val="en-US"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D47"/>
    <w:rsid w:val="00077D47"/>
    <w:rsid w:val="000A1951"/>
    <w:rsid w:val="002672F8"/>
    <w:rsid w:val="003F14B3"/>
    <w:rsid w:val="007C4A5B"/>
    <w:rsid w:val="00845371"/>
    <w:rsid w:val="00D9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F71959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D4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3F14B3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4">
    <w:name w:val="Текст сноски Знак"/>
    <w:basedOn w:val="a0"/>
    <w:link w:val="a3"/>
    <w:uiPriority w:val="99"/>
    <w:rsid w:val="003F14B3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5">
    <w:name w:val="footnote reference"/>
    <w:uiPriority w:val="99"/>
    <w:unhideWhenUsed/>
    <w:rsid w:val="003F14B3"/>
    <w:rPr>
      <w:vertAlign w:val="superscript"/>
    </w:rPr>
  </w:style>
  <w:style w:type="character" w:styleId="a6">
    <w:name w:val="Hyperlink"/>
    <w:uiPriority w:val="99"/>
    <w:unhideWhenUsed/>
    <w:rsid w:val="003F14B3"/>
    <w:rPr>
      <w:color w:val="0000FF"/>
      <w:u w:val="single"/>
    </w:rPr>
  </w:style>
  <w:style w:type="paragraph" w:customStyle="1" w:styleId="Default">
    <w:name w:val="Default"/>
    <w:rsid w:val="003F14B3"/>
    <w:pPr>
      <w:autoSpaceDE w:val="0"/>
      <w:autoSpaceDN w:val="0"/>
      <w:adjustRightInd w:val="0"/>
    </w:pPr>
    <w:rPr>
      <w:rFonts w:ascii="Code" w:eastAsia="Calibri" w:hAnsi="Code" w:cs="Code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sb.org/wp-content/uploads/r_1103.pdf" TargetMode="External"/><Relationship Id="rId2" Type="http://schemas.openxmlformats.org/officeDocument/2006/relationships/hyperlink" Target="http://pure.qub.ac.uk/portal/files/11586616/The_New_Political_Economy_of_Macroprudential_Regulation.pdf" TargetMode="External"/><Relationship Id="rId3" Type="http://schemas.openxmlformats.org/officeDocument/2006/relationships/hyperlink" Target="http://regulation.upf.edu/bath-06/21_Marcussen.pdf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92BCDC6-32FE-AF4D-91BD-FCF87213D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752</Words>
  <Characters>4292</Characters>
  <Application>Microsoft Macintosh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</cp:revision>
  <dcterms:created xsi:type="dcterms:W3CDTF">2017-01-23T09:13:00Z</dcterms:created>
  <dcterms:modified xsi:type="dcterms:W3CDTF">2017-01-23T09:56:00Z</dcterms:modified>
</cp:coreProperties>
</file>