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80" w:rsidRPr="00B26C80" w:rsidRDefault="00B26C80" w:rsidP="00B26C8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3D03">
        <w:rPr>
          <w:rFonts w:ascii="Times New Roman" w:hAnsi="Times New Roman" w:cs="Times New Roman"/>
          <w:sz w:val="24"/>
          <w:szCs w:val="24"/>
        </w:rPr>
        <w:t>Биссон</w:t>
      </w:r>
      <w:proofErr w:type="spellEnd"/>
      <w:r w:rsidRPr="008E3D03">
        <w:rPr>
          <w:rFonts w:ascii="Times New Roman" w:hAnsi="Times New Roman" w:cs="Times New Roman"/>
          <w:sz w:val="24"/>
          <w:szCs w:val="24"/>
        </w:rPr>
        <w:t xml:space="preserve"> Любовь Сергеевна, </w:t>
      </w:r>
      <w:r w:rsidRPr="00B26C8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E3D03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8E3D0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E3D03">
        <w:rPr>
          <w:rFonts w:ascii="Times New Roman" w:hAnsi="Times New Roman" w:cs="Times New Roman"/>
          <w:sz w:val="24"/>
          <w:szCs w:val="24"/>
        </w:rPr>
        <w:t>олит.н</w:t>
      </w:r>
      <w:proofErr w:type="spellEnd"/>
      <w:r w:rsidRPr="008E3D03">
        <w:rPr>
          <w:rFonts w:ascii="Times New Roman" w:hAnsi="Times New Roman" w:cs="Times New Roman"/>
          <w:sz w:val="24"/>
          <w:szCs w:val="24"/>
        </w:rPr>
        <w:t xml:space="preserve">, с.н.с. </w:t>
      </w:r>
      <w:r w:rsidRPr="00B26C80">
        <w:rPr>
          <w:rFonts w:ascii="Times New Roman" w:hAnsi="Times New Roman" w:cs="Times New Roman"/>
          <w:sz w:val="24"/>
          <w:szCs w:val="24"/>
        </w:rPr>
        <w:br/>
      </w:r>
      <w:r w:rsidRPr="008E3D03">
        <w:rPr>
          <w:rFonts w:ascii="Times New Roman" w:hAnsi="Times New Roman" w:cs="Times New Roman"/>
          <w:sz w:val="24"/>
          <w:szCs w:val="24"/>
        </w:rPr>
        <w:t xml:space="preserve">Отдела исследований европейской интеграции </w:t>
      </w:r>
      <w:r w:rsidRPr="00B26C80">
        <w:rPr>
          <w:rFonts w:ascii="Times New Roman" w:hAnsi="Times New Roman" w:cs="Times New Roman"/>
          <w:sz w:val="24"/>
          <w:szCs w:val="24"/>
        </w:rPr>
        <w:br/>
      </w:r>
      <w:r w:rsidRPr="008E3D03">
        <w:rPr>
          <w:rFonts w:ascii="Times New Roman" w:hAnsi="Times New Roman" w:cs="Times New Roman"/>
          <w:sz w:val="24"/>
          <w:szCs w:val="24"/>
        </w:rPr>
        <w:t>Института Европы РАН</w:t>
      </w:r>
    </w:p>
    <w:p w:rsidR="00B26C80" w:rsidRPr="00B26C80" w:rsidRDefault="00B26C80" w:rsidP="00B26C80">
      <w:pPr>
        <w:rPr>
          <w:rFonts w:ascii="Times New Roman" w:hAnsi="Times New Roman" w:cs="Times New Roman"/>
          <w:b/>
        </w:rPr>
      </w:pPr>
    </w:p>
    <w:p w:rsidR="003E5406" w:rsidRPr="00B26C80" w:rsidRDefault="00B26C80" w:rsidP="00B26C80">
      <w:pPr>
        <w:jc w:val="center"/>
        <w:rPr>
          <w:rFonts w:ascii="Times New Roman" w:hAnsi="Times New Roman" w:cs="Times New Roman"/>
          <w:b/>
        </w:rPr>
      </w:pPr>
      <w:r w:rsidRPr="00B26C80">
        <w:rPr>
          <w:rFonts w:ascii="Times New Roman" w:hAnsi="Times New Roman" w:cs="Times New Roman"/>
          <w:b/>
        </w:rPr>
        <w:t>ЛЕГАЛЬНАЯ ИММИГРАЦИЯ В ЕС: СОВЕРШЕНСТВОВАНИЕ ИНСТРУМЕНТОВ РЕГУЛИРОВАНИЯ НА НОВОМ ЭТАПЕ</w:t>
      </w:r>
    </w:p>
    <w:p w:rsidR="003E5406" w:rsidRPr="00B26C80" w:rsidRDefault="003E5406" w:rsidP="003E5406">
      <w:pPr>
        <w:rPr>
          <w:rFonts w:ascii="Times New Roman" w:hAnsi="Times New Roman" w:cs="Times New Roman"/>
        </w:rPr>
      </w:pPr>
    </w:p>
    <w:p w:rsidR="00E406F2" w:rsidRPr="00B26C80" w:rsidRDefault="003E5406" w:rsidP="003E5406">
      <w:pPr>
        <w:rPr>
          <w:rFonts w:ascii="Times New Roman" w:hAnsi="Times New Roman" w:cs="Times New Roman"/>
        </w:rPr>
      </w:pPr>
      <w:r w:rsidRPr="00B26C80">
        <w:rPr>
          <w:rFonts w:ascii="Times New Roman" w:hAnsi="Times New Roman" w:cs="Times New Roman"/>
        </w:rPr>
        <w:t>Аннотация: Для преодоления миграционного кризиса в качестве одной из четырех ключевых целей «Европейской повестки дня по миграции», наряду с защитой внешних границ, борьбой с незаконной иммиграцией и укреплением общей политики убежища, Комиссия Ж.-К. Юнкера обозначила и совершенствование политики ЕС в сфере управления легальной иммиграцией. 7 июня 2016 года было объявлено о реформировании директивы о Голубой карте (схемы привлечения высококвалифицированных специалистов), реализации Плана действий по интеграции иммигрантов – граждан третьих стран, а также о развитии сотрудничества с третьими странами в решении миграционных проблем. Выступление будет посвящено оценке текущих норм и инструментов регулирования легальной иммиграции в ЕС, а также решения Еврокомиссии о их дальнейшем совершенствовании</w:t>
      </w:r>
      <w:bookmarkStart w:id="0" w:name="_GoBack"/>
      <w:bookmarkEnd w:id="0"/>
    </w:p>
    <w:sectPr w:rsidR="00E406F2" w:rsidRPr="00B26C80" w:rsidSect="00E13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5406"/>
    <w:rsid w:val="003E5406"/>
    <w:rsid w:val="00B26C80"/>
    <w:rsid w:val="00E13E46"/>
    <w:rsid w:val="00E40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Петрович</dc:creator>
  <cp:keywords/>
  <dc:description/>
  <cp:lastModifiedBy>User</cp:lastModifiedBy>
  <cp:revision>2</cp:revision>
  <dcterms:created xsi:type="dcterms:W3CDTF">2016-11-30T10:23:00Z</dcterms:created>
  <dcterms:modified xsi:type="dcterms:W3CDTF">2016-12-01T19:47:00Z</dcterms:modified>
</cp:coreProperties>
</file>