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76E" w:rsidRPr="0023376E" w:rsidRDefault="0023376E" w:rsidP="0023376E">
      <w:pPr>
        <w:jc w:val="center"/>
        <w:rPr>
          <w:rFonts w:ascii="Times New Roman" w:hAnsi="Times New Roman" w:cs="Times New Roman"/>
          <w:sz w:val="32"/>
          <w:szCs w:val="32"/>
        </w:rPr>
      </w:pPr>
      <w:r w:rsidRPr="0023376E">
        <w:rPr>
          <w:rFonts w:ascii="Times New Roman" w:hAnsi="Times New Roman" w:cs="Times New Roman"/>
          <w:sz w:val="32"/>
          <w:szCs w:val="32"/>
        </w:rPr>
        <w:t>Босния после Дейтона – больной человек Европы</w:t>
      </w:r>
    </w:p>
    <w:p w:rsidR="0028733E" w:rsidRPr="0023376E" w:rsidRDefault="0023376E" w:rsidP="0023376E">
      <w:pPr>
        <w:jc w:val="both"/>
        <w:rPr>
          <w:rFonts w:ascii="Times New Roman" w:hAnsi="Times New Roman" w:cs="Times New Roman"/>
          <w:sz w:val="24"/>
          <w:szCs w:val="24"/>
        </w:rPr>
      </w:pPr>
      <w:r w:rsidRPr="0023376E">
        <w:rPr>
          <w:rFonts w:ascii="Times New Roman" w:hAnsi="Times New Roman" w:cs="Times New Roman"/>
          <w:sz w:val="24"/>
          <w:szCs w:val="24"/>
        </w:rPr>
        <w:t xml:space="preserve">При комплексном рассмотрении трансформационных процессов в Боснии и Герцеговине (далее – БиГ), помимо обычных направлений экономической и политической трансформации (демократизация и институциональная трансформация), необходимо иметь в виду и столь важную для этого многонационального государства трансформацию идентичности. Случай с Боснией уникален – в рамках одного государства за последние двадцать лет можно было наблюдать формирование нескольких национальных идентичностей (бошняки, сербы и хорваты), а также общей для всего государства «боснийской» </w:t>
      </w:r>
      <w:proofErr w:type="gramStart"/>
      <w:r w:rsidRPr="0023376E">
        <w:rPr>
          <w:rFonts w:ascii="Times New Roman" w:hAnsi="Times New Roman" w:cs="Times New Roman"/>
          <w:sz w:val="24"/>
          <w:szCs w:val="24"/>
        </w:rPr>
        <w:t>идентичности .</w:t>
      </w:r>
      <w:proofErr w:type="gramEnd"/>
      <w:r w:rsidRPr="0023376E">
        <w:rPr>
          <w:rFonts w:ascii="Times New Roman" w:hAnsi="Times New Roman" w:cs="Times New Roman"/>
          <w:sz w:val="24"/>
          <w:szCs w:val="24"/>
        </w:rPr>
        <w:t xml:space="preserve"> К тому же в развитии государства многое объясняет тот факт, что БиГ только двадцать лет назад пережила два транзита – транзит от состояния гражданской войны с явным внешним участием к миру (подписание Дейтонских соглашений 1995 г.) и государствообразующий переход (БиГ впервые в 1995 г. стала независимым признанным мировым сообществом независимым государством). Причем необходимо иметь в виду, что БиГ стала единственным государством в современной Европе с ограниченным политическим суверенитетом и внешним управлением, осуществляемым Аппаратом Верховного Представителя по БиГ.</w:t>
      </w:r>
    </w:p>
    <w:p w:rsidR="0023376E" w:rsidRPr="0023376E" w:rsidRDefault="0023376E" w:rsidP="0023376E">
      <w:pPr>
        <w:jc w:val="both"/>
        <w:rPr>
          <w:rFonts w:ascii="Times New Roman" w:hAnsi="Times New Roman" w:cs="Times New Roman"/>
          <w:b/>
          <w:sz w:val="24"/>
          <w:szCs w:val="24"/>
        </w:rPr>
      </w:pPr>
      <w:r w:rsidRPr="0023376E">
        <w:rPr>
          <w:rFonts w:ascii="Times New Roman" w:hAnsi="Times New Roman" w:cs="Times New Roman"/>
          <w:b/>
          <w:sz w:val="24"/>
          <w:szCs w:val="24"/>
        </w:rPr>
        <w:t xml:space="preserve">Политическая трансформация. </w:t>
      </w:r>
    </w:p>
    <w:p w:rsidR="0023376E" w:rsidRPr="0023376E" w:rsidRDefault="0023376E" w:rsidP="0023376E">
      <w:pPr>
        <w:jc w:val="both"/>
        <w:rPr>
          <w:rFonts w:ascii="Times New Roman" w:hAnsi="Times New Roman" w:cs="Times New Roman"/>
          <w:sz w:val="24"/>
          <w:szCs w:val="24"/>
        </w:rPr>
      </w:pPr>
      <w:r w:rsidRPr="0023376E">
        <w:rPr>
          <w:rFonts w:ascii="Times New Roman" w:hAnsi="Times New Roman" w:cs="Times New Roman"/>
          <w:sz w:val="24"/>
          <w:szCs w:val="24"/>
        </w:rPr>
        <w:t>В ноябре 2015 г. Дейтонским соглашениям, заложившим основы боснийского государства, исполнилось 20 лет. Стоит отметить, что большинство исследователей и экспертов в своем мнении сходятся в одном – политическая трансформация так и не принесла ожидаемых авторами «Дейтона» результатов, практически по всем критериям БиГ заметно отстала от остальных стран региона. Также до сих пор остается открытым вопрос будущего страны, поскольку граждане БиГ недовольны дейтонским конструктом, необходимость реформирования Дейтонских соглашений понятна всем основным его архитекторам, однако консенсуса относительно конституционных изменений нет ни внутри страны, ни за ее пределами.</w:t>
      </w:r>
    </w:p>
    <w:p w:rsidR="0023376E" w:rsidRPr="0023376E" w:rsidRDefault="0023376E" w:rsidP="0023376E">
      <w:pPr>
        <w:jc w:val="both"/>
        <w:rPr>
          <w:rFonts w:ascii="Times New Roman" w:hAnsi="Times New Roman" w:cs="Times New Roman"/>
          <w:sz w:val="24"/>
          <w:szCs w:val="24"/>
        </w:rPr>
      </w:pPr>
      <w:r w:rsidRPr="0023376E">
        <w:rPr>
          <w:rFonts w:ascii="Times New Roman" w:hAnsi="Times New Roman" w:cs="Times New Roman"/>
          <w:sz w:val="24"/>
          <w:szCs w:val="24"/>
        </w:rPr>
        <w:t xml:space="preserve">Боснийский федерализм не привел к общегражданскому диалогу, построению общего для всей страны политического пространства. Как и в военное время, вся партийная система страны сводится к тому, что каждая из государствообразующих национальностей представлена в Президиуме и парламенте своей партией с четко выраженной националистической идеологией. </w:t>
      </w:r>
      <w:proofErr w:type="spellStart"/>
      <w:r w:rsidRPr="0023376E">
        <w:rPr>
          <w:rFonts w:ascii="Times New Roman" w:hAnsi="Times New Roman" w:cs="Times New Roman"/>
          <w:sz w:val="24"/>
          <w:szCs w:val="24"/>
        </w:rPr>
        <w:t>Бошнякская</w:t>
      </w:r>
      <w:proofErr w:type="spellEnd"/>
      <w:r w:rsidRPr="0023376E">
        <w:rPr>
          <w:rFonts w:ascii="Times New Roman" w:hAnsi="Times New Roman" w:cs="Times New Roman"/>
          <w:sz w:val="24"/>
          <w:szCs w:val="24"/>
        </w:rPr>
        <w:t xml:space="preserve"> Партия демократического действия (ПДД), Сербская демократическая партия (СДП) и Хорватское демократическое содружество БиГ (ХДС БиГ), будучи главными подстрекателями войны в 1992-1995 гг., продолжали оставаться у власти до 2006 г. Несмотря на появление конкуренции со стороны таких партий как «Союз независимых социал-демократов» (СНСД) в Республике Сербской и «Союза за лучшее будущее БиГ» в ФБиГ на двух последних парламентских выборах, националистическая риторика этих партий немногим отличается от риторики конкурентов.</w:t>
      </w:r>
    </w:p>
    <w:p w:rsidR="0023376E" w:rsidRPr="0023376E" w:rsidRDefault="0023376E" w:rsidP="0023376E">
      <w:pPr>
        <w:jc w:val="both"/>
        <w:rPr>
          <w:rFonts w:ascii="Times New Roman" w:hAnsi="Times New Roman" w:cs="Times New Roman"/>
          <w:sz w:val="24"/>
          <w:szCs w:val="24"/>
        </w:rPr>
      </w:pPr>
      <w:r w:rsidRPr="0023376E">
        <w:rPr>
          <w:rFonts w:ascii="Times New Roman" w:hAnsi="Times New Roman" w:cs="Times New Roman"/>
          <w:sz w:val="24"/>
          <w:szCs w:val="24"/>
        </w:rPr>
        <w:t>В целом, Дейтонские соглашения справились только с одной, но очень важной задачей – им удалось прекратить военные действия на территории БиГ. Что касается целей создания жизнеспособного государства, национального примирения между народами и демократизации страны, за эти двадцать лет Федерация не добилась значительного прогресса. Политический транзит Боснии пока далек от завершения, более того – пока не ясны рамки дальнейшего развития государства.</w:t>
      </w:r>
    </w:p>
    <w:p w:rsidR="0023376E" w:rsidRPr="0023376E" w:rsidRDefault="0023376E" w:rsidP="0023376E">
      <w:pPr>
        <w:jc w:val="both"/>
        <w:rPr>
          <w:rFonts w:ascii="Times New Roman" w:hAnsi="Times New Roman" w:cs="Times New Roman"/>
          <w:b/>
          <w:sz w:val="24"/>
          <w:szCs w:val="24"/>
        </w:rPr>
      </w:pPr>
      <w:r w:rsidRPr="0023376E">
        <w:rPr>
          <w:rFonts w:ascii="Times New Roman" w:hAnsi="Times New Roman" w:cs="Times New Roman"/>
          <w:b/>
          <w:sz w:val="24"/>
          <w:szCs w:val="24"/>
        </w:rPr>
        <w:t>Основные движущие силы трансформации</w:t>
      </w:r>
    </w:p>
    <w:p w:rsidR="0023376E" w:rsidRPr="0023376E" w:rsidRDefault="0023376E" w:rsidP="0023376E">
      <w:pPr>
        <w:jc w:val="both"/>
        <w:rPr>
          <w:rFonts w:ascii="Times New Roman" w:hAnsi="Times New Roman" w:cs="Times New Roman"/>
          <w:sz w:val="24"/>
          <w:szCs w:val="24"/>
        </w:rPr>
      </w:pPr>
      <w:r w:rsidRPr="0023376E">
        <w:rPr>
          <w:rFonts w:ascii="Times New Roman" w:hAnsi="Times New Roman" w:cs="Times New Roman"/>
          <w:sz w:val="24"/>
          <w:szCs w:val="24"/>
        </w:rPr>
        <w:lastRenderedPageBreak/>
        <w:t xml:space="preserve">Уникальность Боснийского кейса выражается и в том, что в БиГ определяющее значение в процессе трансформации занимают внешние политические </w:t>
      </w:r>
      <w:proofErr w:type="spellStart"/>
      <w:r w:rsidRPr="0023376E">
        <w:rPr>
          <w:rFonts w:ascii="Times New Roman" w:hAnsi="Times New Roman" w:cs="Times New Roman"/>
          <w:sz w:val="24"/>
          <w:szCs w:val="24"/>
        </w:rPr>
        <w:t>акторы</w:t>
      </w:r>
      <w:proofErr w:type="spellEnd"/>
      <w:r w:rsidRPr="0023376E">
        <w:rPr>
          <w:rFonts w:ascii="Times New Roman" w:hAnsi="Times New Roman" w:cs="Times New Roman"/>
          <w:sz w:val="24"/>
          <w:szCs w:val="24"/>
        </w:rPr>
        <w:t xml:space="preserve"> – как посредством работы Аппарата Верховного Представителя, так и через общую для региона руководящую и направляющую роль Европейского Союза. Если до 1999 г. (до момента подписания Пакта стабильности для ЮВЕ (ПСЮВЕ)) основным </w:t>
      </w:r>
      <w:proofErr w:type="spellStart"/>
      <w:r w:rsidRPr="0023376E">
        <w:rPr>
          <w:rFonts w:ascii="Times New Roman" w:hAnsi="Times New Roman" w:cs="Times New Roman"/>
          <w:sz w:val="24"/>
          <w:szCs w:val="24"/>
        </w:rPr>
        <w:t>имплементатором</w:t>
      </w:r>
      <w:proofErr w:type="spellEnd"/>
      <w:r w:rsidRPr="0023376E">
        <w:rPr>
          <w:rFonts w:ascii="Times New Roman" w:hAnsi="Times New Roman" w:cs="Times New Roman"/>
          <w:sz w:val="24"/>
          <w:szCs w:val="24"/>
        </w:rPr>
        <w:t xml:space="preserve"> и инициатором реформ был Верховный представитель, то в период с 1999 г. по 2004 гг. эту роль начинает активно играть ЕС. На саммите в Загребе в 2000 г. Боснии наравне с другими странами Западных Балкан было предложено подписать Соглашение о стабилизации и ассоциации (ССА). БиГ участвовала во всех проектах, предложенных ЕС для стран региона. Чтобы продемонстрировать свою руководящую роль в политическом переходе, в 2002 г. ЕС назначил своим Специальным представителем в стране четвертого Верховного представителя Лорда Пэдди </w:t>
      </w:r>
      <w:proofErr w:type="spellStart"/>
      <w:r w:rsidRPr="0023376E">
        <w:rPr>
          <w:rFonts w:ascii="Times New Roman" w:hAnsi="Times New Roman" w:cs="Times New Roman"/>
          <w:sz w:val="24"/>
          <w:szCs w:val="24"/>
        </w:rPr>
        <w:t>Эшдауна</w:t>
      </w:r>
      <w:proofErr w:type="spellEnd"/>
      <w:r w:rsidRPr="0023376E">
        <w:rPr>
          <w:rFonts w:ascii="Times New Roman" w:hAnsi="Times New Roman" w:cs="Times New Roman"/>
          <w:sz w:val="24"/>
          <w:szCs w:val="24"/>
        </w:rPr>
        <w:t>. До 2011 г. все последующие Верховные представители в стране занимали одновременно два поста. В 2004 г. на основании резолюции СБ ООН операция сил НАТО по поддержанию мира (SFOR) была заменена аналогичной операцией ЕС (EUFOR ALTHEA). Еще раньше, в 2002 г., Европейская полицейская миссия (EUPM) заменила международную полицейскую миссию под эгидой ООН. В эти годы ЕС начал играть ключевую роль наблюдателя за реализацией Дейтонских соглашений как в военном, так и в политическом плане.</w:t>
      </w:r>
    </w:p>
    <w:p w:rsidR="0023376E" w:rsidRPr="0023376E" w:rsidRDefault="0023376E" w:rsidP="0023376E">
      <w:pPr>
        <w:jc w:val="both"/>
        <w:rPr>
          <w:rFonts w:ascii="Times New Roman" w:hAnsi="Times New Roman" w:cs="Times New Roman"/>
          <w:sz w:val="24"/>
          <w:szCs w:val="24"/>
        </w:rPr>
      </w:pPr>
      <w:r w:rsidRPr="0023376E">
        <w:rPr>
          <w:rFonts w:ascii="Times New Roman" w:hAnsi="Times New Roman" w:cs="Times New Roman"/>
          <w:sz w:val="24"/>
          <w:szCs w:val="24"/>
        </w:rPr>
        <w:t xml:space="preserve">Несмотря на затянувшийся для Боснии процесс евроинтеграции (БиГ в 2015 г. осталась единственной страной со статусом потенциального кандидата в Евросоюз в своем регионе) и отсутствие ощутимого прогресса в интеграции, Боснии наравне с другими странами региона были предоставлены некоторые поощрительные уступки. В ноябре 2010 г. европейские власти отменили визовый режим для граждан БиГ с целью совершения туристических поездок сроком до 30 дней. Также с момента подписания ССА в 2008 г. для более чем 90% боснийских сельскохозяйственных товаров были отменены ввозные таможенные пошлины. Однако очевидно, что отставание Боснии в процессе евроинтеграции от других стран региона растет, что безусловно ведет к фрустрации как властей, так и населения страны. Ответственность за это несут как боснийские власти, так и Евросоюз - как продемонстрировали вышеприведенные примеры, Евросоюз не всегда был последователен в своей стратегии выбора критерий для продвижения страны на пути интеграции. Переход роли главного инициатора реформ от Верховного Представителя к Евросоюзу и очевидное </w:t>
      </w:r>
      <w:proofErr w:type="spellStart"/>
      <w:r w:rsidRPr="0023376E">
        <w:rPr>
          <w:rFonts w:ascii="Times New Roman" w:hAnsi="Times New Roman" w:cs="Times New Roman"/>
          <w:sz w:val="24"/>
          <w:szCs w:val="24"/>
        </w:rPr>
        <w:t>самоотстранение</w:t>
      </w:r>
      <w:proofErr w:type="spellEnd"/>
      <w:r w:rsidRPr="0023376E">
        <w:rPr>
          <w:rFonts w:ascii="Times New Roman" w:hAnsi="Times New Roman" w:cs="Times New Roman"/>
          <w:sz w:val="24"/>
          <w:szCs w:val="24"/>
        </w:rPr>
        <w:t xml:space="preserve"> В. </w:t>
      </w:r>
      <w:proofErr w:type="spellStart"/>
      <w:r w:rsidRPr="0023376E">
        <w:rPr>
          <w:rFonts w:ascii="Times New Roman" w:hAnsi="Times New Roman" w:cs="Times New Roman"/>
          <w:sz w:val="24"/>
          <w:szCs w:val="24"/>
        </w:rPr>
        <w:t>Инцко</w:t>
      </w:r>
      <w:proofErr w:type="spellEnd"/>
      <w:r w:rsidRPr="0023376E">
        <w:rPr>
          <w:rFonts w:ascii="Times New Roman" w:hAnsi="Times New Roman" w:cs="Times New Roman"/>
          <w:sz w:val="24"/>
          <w:szCs w:val="24"/>
        </w:rPr>
        <w:t xml:space="preserve"> от использования «Боннских полномочий» (большая часть их применения при </w:t>
      </w:r>
      <w:proofErr w:type="spellStart"/>
      <w:r w:rsidRPr="0023376E">
        <w:rPr>
          <w:rFonts w:ascii="Times New Roman" w:hAnsi="Times New Roman" w:cs="Times New Roman"/>
          <w:sz w:val="24"/>
          <w:szCs w:val="24"/>
        </w:rPr>
        <w:t>Инцко</w:t>
      </w:r>
      <w:proofErr w:type="spellEnd"/>
      <w:r w:rsidRPr="0023376E">
        <w:rPr>
          <w:rFonts w:ascii="Times New Roman" w:hAnsi="Times New Roman" w:cs="Times New Roman"/>
          <w:sz w:val="24"/>
          <w:szCs w:val="24"/>
        </w:rPr>
        <w:t xml:space="preserve"> касалась отмены санкций против граждан БиГ, наложенных предыдущими главами АВП) пока существенно не поспособствовали налаживанию национального диалога и достижению боснийскими элитами компромисса по жизненно необходимым для страны реформам.</w:t>
      </w:r>
    </w:p>
    <w:p w:rsidR="0023376E" w:rsidRPr="0023376E" w:rsidRDefault="0023376E" w:rsidP="0023376E">
      <w:pPr>
        <w:jc w:val="both"/>
        <w:rPr>
          <w:rFonts w:ascii="Times New Roman" w:hAnsi="Times New Roman" w:cs="Times New Roman"/>
          <w:b/>
          <w:sz w:val="24"/>
          <w:szCs w:val="24"/>
        </w:rPr>
      </w:pPr>
      <w:r w:rsidRPr="0023376E">
        <w:rPr>
          <w:rFonts w:ascii="Times New Roman" w:hAnsi="Times New Roman" w:cs="Times New Roman"/>
          <w:b/>
          <w:sz w:val="24"/>
          <w:szCs w:val="24"/>
        </w:rPr>
        <w:t>Экономическая трансформация</w:t>
      </w:r>
    </w:p>
    <w:p w:rsidR="0023376E" w:rsidRPr="0023376E" w:rsidRDefault="0023376E" w:rsidP="0023376E">
      <w:pPr>
        <w:jc w:val="both"/>
        <w:rPr>
          <w:rFonts w:ascii="Times New Roman" w:hAnsi="Times New Roman" w:cs="Times New Roman"/>
          <w:sz w:val="24"/>
          <w:szCs w:val="24"/>
        </w:rPr>
      </w:pPr>
      <w:r w:rsidRPr="0023376E">
        <w:rPr>
          <w:rFonts w:ascii="Times New Roman" w:hAnsi="Times New Roman" w:cs="Times New Roman"/>
          <w:sz w:val="24"/>
          <w:szCs w:val="24"/>
        </w:rPr>
        <w:t>Годом начала экономической трансформации в Боснии правильно считать 1996 г., когда началась фактическая реализация Дейтонских соглашений. Однако институты рыночной экономики создавались очень медленно и большинство подобных решений было принято Верховным Представителем – законы «О приватизации объектов бизнеса и банков» (1998 г.), «Об учреждении приватизационной мониторинговой комиссии» (1998 г.). В 1998 г. Верховному представителю даже пришлось издать постановление о дизайне банкнот введенной в Боснии Конвертируемой марки после года безуспешных переговоров членов Президиума.</w:t>
      </w:r>
    </w:p>
    <w:p w:rsidR="0023376E" w:rsidRPr="0023376E" w:rsidRDefault="0023376E" w:rsidP="0023376E">
      <w:pPr>
        <w:jc w:val="both"/>
        <w:rPr>
          <w:rFonts w:ascii="Times New Roman" w:hAnsi="Times New Roman" w:cs="Times New Roman"/>
          <w:sz w:val="24"/>
          <w:szCs w:val="24"/>
        </w:rPr>
      </w:pPr>
      <w:r w:rsidRPr="0023376E">
        <w:rPr>
          <w:rFonts w:ascii="Times New Roman" w:hAnsi="Times New Roman" w:cs="Times New Roman"/>
          <w:sz w:val="24"/>
          <w:szCs w:val="24"/>
        </w:rPr>
        <w:lastRenderedPageBreak/>
        <w:t>С 2000 по 2008 гг. экономика БиГ, как и экономика других стран региона, росла высокими темпами, достигавшими 6% в 2004 и 2006 гг. Однако кредитный бум, опора на иностранные, преимущественно европейские, инвестиции, быстрый рост бюджетных расходов стали факторами, определившими уязвимость модели экономического развития страны в годы кризиса. Сказалось также и отсутствие структурных реформ в экономике – в стране разросся чиновничий аппарат, фактически бесконтрольно росли госрасходы. Как и в большинстве стран ЦВЕ, рецессия в ЕС в 2009 г. привела к сильному падению спроса на производимые в БиГ товары, а дальнейшие финансовые проблемы и низкая деловая активность в еврозоне препятствуют возобновлению экономического роста. Экономика страны дважды погружалась в рецессию – в 2009 г. (-2,7%) и в 2012 г. (-1,2%).</w:t>
      </w:r>
    </w:p>
    <w:p w:rsidR="0023376E" w:rsidRPr="0023376E" w:rsidRDefault="0023376E" w:rsidP="0023376E">
      <w:pPr>
        <w:jc w:val="both"/>
        <w:rPr>
          <w:rFonts w:ascii="Times New Roman" w:hAnsi="Times New Roman" w:cs="Times New Roman"/>
          <w:sz w:val="24"/>
          <w:szCs w:val="24"/>
        </w:rPr>
      </w:pPr>
      <w:r w:rsidRPr="0023376E">
        <w:rPr>
          <w:rFonts w:ascii="Times New Roman" w:hAnsi="Times New Roman" w:cs="Times New Roman"/>
          <w:sz w:val="24"/>
          <w:szCs w:val="24"/>
        </w:rPr>
        <w:t>БиГ демонстрирует самые скромные показатели экономической конвергенции с ЕС среди стран Западных Балкан, причем после мирового кризиса ее отставание от Евросоюза по объему ВВП по ППС на душу населения даже увеличилось.</w:t>
      </w:r>
    </w:p>
    <w:p w:rsidR="0023376E" w:rsidRPr="0023376E" w:rsidRDefault="0023376E" w:rsidP="0023376E">
      <w:pPr>
        <w:jc w:val="both"/>
        <w:rPr>
          <w:rFonts w:ascii="Times New Roman" w:hAnsi="Times New Roman" w:cs="Times New Roman"/>
          <w:b/>
          <w:sz w:val="24"/>
          <w:szCs w:val="24"/>
        </w:rPr>
      </w:pPr>
      <w:r w:rsidRPr="0023376E">
        <w:rPr>
          <w:rFonts w:ascii="Times New Roman" w:hAnsi="Times New Roman" w:cs="Times New Roman"/>
          <w:b/>
          <w:sz w:val="24"/>
          <w:szCs w:val="24"/>
        </w:rPr>
        <w:t>Трансформация и социальная сфера</w:t>
      </w:r>
    </w:p>
    <w:p w:rsidR="0023376E" w:rsidRPr="0023376E" w:rsidRDefault="0023376E" w:rsidP="0023376E">
      <w:pPr>
        <w:jc w:val="both"/>
        <w:rPr>
          <w:rFonts w:ascii="Times New Roman" w:hAnsi="Times New Roman" w:cs="Times New Roman"/>
          <w:sz w:val="24"/>
          <w:szCs w:val="24"/>
        </w:rPr>
      </w:pPr>
      <w:r w:rsidRPr="0023376E">
        <w:rPr>
          <w:rFonts w:ascii="Times New Roman" w:hAnsi="Times New Roman" w:cs="Times New Roman"/>
          <w:sz w:val="24"/>
          <w:szCs w:val="24"/>
        </w:rPr>
        <w:t>Ситуация в социальной сфере в БиГ выглядит хуже, чем в соседних странах, и социальные проблемы остаются одними из самых трудно решаемых. Уровень безработицы с 2010 г. держится на уровне 27-28%, а с учетом лиц, незарегистрированных на бирже труда, составляет, по подсчетам, около 45%. По данным Всемирного банка на 2014 г. в БиГ также зарегистрированы самые высокие в Европе показатели долгосрочной безработицы (около 90%) и безработицы среди молодежи (держится на отметке свыше 60% с 2012 г.). Неслучайно Босния за последние 20 лет демонстрирует самые высокие показатели утечки мозгов в Европе – около 25% высококвалифицированного населения покинуло страну. Сложная экономическая ситуация в стране и отсутствие с конца 2010 г. для граждан страны визового режима для поездок в страны ЕС на срок до 30 дней обусловили рост числа граждан, обращающихся в Евросоюз за статусом политических и экономических беженцев, однако шансы на его получения крайне малы.</w:t>
      </w:r>
    </w:p>
    <w:p w:rsidR="0023376E" w:rsidRPr="0023376E" w:rsidRDefault="0023376E" w:rsidP="0023376E">
      <w:pPr>
        <w:jc w:val="both"/>
        <w:rPr>
          <w:rFonts w:ascii="Times New Roman" w:hAnsi="Times New Roman" w:cs="Times New Roman"/>
          <w:sz w:val="24"/>
          <w:szCs w:val="24"/>
        </w:rPr>
      </w:pPr>
      <w:r w:rsidRPr="0023376E">
        <w:rPr>
          <w:rFonts w:ascii="Times New Roman" w:hAnsi="Times New Roman" w:cs="Times New Roman"/>
          <w:sz w:val="24"/>
          <w:szCs w:val="24"/>
        </w:rPr>
        <w:t xml:space="preserve">Как следствие разрушительной войны в процессе распада Югославии и общих для всего региона ЮВЕ экономических проблем, возникших в процессе трансформации, согласно некоторым исследованиям в 2/3 жителей Федерации страдают от депрессии и около трети граждан имеют симптомы поствоенного синдрома (ПТСР). Также стоящие перед Боснией острые социальные проблемы как экономического, так и поствоенного этнического характера создают благоприятную почву для </w:t>
      </w:r>
      <w:proofErr w:type="spellStart"/>
      <w:r w:rsidRPr="0023376E">
        <w:rPr>
          <w:rFonts w:ascii="Times New Roman" w:hAnsi="Times New Roman" w:cs="Times New Roman"/>
          <w:sz w:val="24"/>
          <w:szCs w:val="24"/>
        </w:rPr>
        <w:t>маргинализации</w:t>
      </w:r>
      <w:proofErr w:type="spellEnd"/>
      <w:r w:rsidRPr="0023376E">
        <w:rPr>
          <w:rFonts w:ascii="Times New Roman" w:hAnsi="Times New Roman" w:cs="Times New Roman"/>
          <w:sz w:val="24"/>
          <w:szCs w:val="24"/>
        </w:rPr>
        <w:t xml:space="preserve"> и </w:t>
      </w:r>
      <w:proofErr w:type="spellStart"/>
      <w:r w:rsidRPr="0023376E">
        <w:rPr>
          <w:rFonts w:ascii="Times New Roman" w:hAnsi="Times New Roman" w:cs="Times New Roman"/>
          <w:sz w:val="24"/>
          <w:szCs w:val="24"/>
        </w:rPr>
        <w:t>радикализации</w:t>
      </w:r>
      <w:proofErr w:type="spellEnd"/>
      <w:r w:rsidRPr="0023376E">
        <w:rPr>
          <w:rFonts w:ascii="Times New Roman" w:hAnsi="Times New Roman" w:cs="Times New Roman"/>
          <w:sz w:val="24"/>
          <w:szCs w:val="24"/>
        </w:rPr>
        <w:t xml:space="preserve"> молодежи. По официальным данным, за последние два года более 250 граждан БиГ отправились воевать на стороне «</w:t>
      </w:r>
      <w:proofErr w:type="spellStart"/>
      <w:r w:rsidRPr="0023376E">
        <w:rPr>
          <w:rFonts w:ascii="Times New Roman" w:hAnsi="Times New Roman" w:cs="Times New Roman"/>
          <w:sz w:val="24"/>
          <w:szCs w:val="24"/>
        </w:rPr>
        <w:t>ИГИЛа</w:t>
      </w:r>
      <w:proofErr w:type="spellEnd"/>
      <w:r w:rsidRPr="0023376E">
        <w:rPr>
          <w:rFonts w:ascii="Times New Roman" w:hAnsi="Times New Roman" w:cs="Times New Roman"/>
          <w:sz w:val="24"/>
          <w:szCs w:val="24"/>
        </w:rPr>
        <w:t xml:space="preserve">», причем 60 из них вернулись назад. Теракты в </w:t>
      </w:r>
      <w:proofErr w:type="spellStart"/>
      <w:r w:rsidRPr="0023376E">
        <w:rPr>
          <w:rFonts w:ascii="Times New Roman" w:hAnsi="Times New Roman" w:cs="Times New Roman"/>
          <w:sz w:val="24"/>
          <w:szCs w:val="24"/>
        </w:rPr>
        <w:t>Зворнике</w:t>
      </w:r>
      <w:proofErr w:type="spellEnd"/>
      <w:r w:rsidRPr="0023376E">
        <w:rPr>
          <w:rFonts w:ascii="Times New Roman" w:hAnsi="Times New Roman" w:cs="Times New Roman"/>
          <w:sz w:val="24"/>
          <w:szCs w:val="24"/>
        </w:rPr>
        <w:t xml:space="preserve"> (РС) в мае и Сараево (ФБиГ) в ноябре 2015 г. говорят о росте исламизации и террористической угрозы в Боснии.</w:t>
      </w:r>
    </w:p>
    <w:p w:rsidR="0023376E" w:rsidRPr="0023376E" w:rsidRDefault="0023376E" w:rsidP="0023376E">
      <w:pPr>
        <w:jc w:val="both"/>
        <w:rPr>
          <w:rFonts w:ascii="Times New Roman" w:hAnsi="Times New Roman" w:cs="Times New Roman"/>
          <w:sz w:val="24"/>
          <w:szCs w:val="24"/>
        </w:rPr>
      </w:pPr>
      <w:r w:rsidRPr="0023376E">
        <w:rPr>
          <w:rFonts w:ascii="Times New Roman" w:hAnsi="Times New Roman" w:cs="Times New Roman"/>
          <w:sz w:val="24"/>
          <w:szCs w:val="24"/>
        </w:rPr>
        <w:t>***</w:t>
      </w:r>
    </w:p>
    <w:p w:rsidR="0023376E" w:rsidRPr="0023376E" w:rsidRDefault="0023376E" w:rsidP="0023376E">
      <w:pPr>
        <w:jc w:val="both"/>
        <w:rPr>
          <w:rFonts w:ascii="Times New Roman" w:hAnsi="Times New Roman" w:cs="Times New Roman"/>
          <w:sz w:val="24"/>
          <w:szCs w:val="24"/>
        </w:rPr>
      </w:pPr>
      <w:r w:rsidRPr="0023376E">
        <w:rPr>
          <w:rFonts w:ascii="Times New Roman" w:hAnsi="Times New Roman" w:cs="Times New Roman"/>
          <w:sz w:val="24"/>
          <w:szCs w:val="24"/>
        </w:rPr>
        <w:t>В ходе анализа процессов политической и экономической трансформации следует сделать несколько важных выводов:</w:t>
      </w:r>
    </w:p>
    <w:p w:rsidR="0023376E" w:rsidRPr="0023376E" w:rsidRDefault="0023376E" w:rsidP="0023376E">
      <w:pPr>
        <w:jc w:val="both"/>
        <w:rPr>
          <w:rFonts w:ascii="Times New Roman" w:hAnsi="Times New Roman" w:cs="Times New Roman"/>
          <w:sz w:val="24"/>
          <w:szCs w:val="24"/>
        </w:rPr>
      </w:pPr>
      <w:r w:rsidRPr="0023376E">
        <w:rPr>
          <w:rFonts w:ascii="Times New Roman" w:hAnsi="Times New Roman" w:cs="Times New Roman"/>
          <w:sz w:val="24"/>
          <w:szCs w:val="24"/>
        </w:rPr>
        <w:t>1.</w:t>
      </w:r>
      <w:r w:rsidRPr="0023376E">
        <w:rPr>
          <w:rFonts w:ascii="Times New Roman" w:hAnsi="Times New Roman" w:cs="Times New Roman"/>
          <w:sz w:val="24"/>
          <w:szCs w:val="24"/>
        </w:rPr>
        <w:tab/>
        <w:t>Трансформационный опыт Боснии и Герцеговины уникален, так как представляет собой множество разных переходов (от войны к миру, от единого государства к независимому, от разных идентичностей народов к построению единой для страны идентичности). Главную роль в процессах трансформации в первые пять лет после подписания Дейтонских соглашений сыграл Аппарат Верховного Представителя, а после – Евросоюз.</w:t>
      </w:r>
    </w:p>
    <w:p w:rsidR="0023376E" w:rsidRPr="0023376E" w:rsidRDefault="0023376E" w:rsidP="0023376E">
      <w:pPr>
        <w:jc w:val="both"/>
        <w:rPr>
          <w:rFonts w:ascii="Times New Roman" w:hAnsi="Times New Roman" w:cs="Times New Roman"/>
          <w:sz w:val="24"/>
          <w:szCs w:val="24"/>
        </w:rPr>
      </w:pPr>
      <w:r w:rsidRPr="0023376E">
        <w:rPr>
          <w:rFonts w:ascii="Times New Roman" w:hAnsi="Times New Roman" w:cs="Times New Roman"/>
          <w:sz w:val="24"/>
          <w:szCs w:val="24"/>
        </w:rPr>
        <w:lastRenderedPageBreak/>
        <w:t>2.</w:t>
      </w:r>
      <w:r w:rsidRPr="0023376E">
        <w:rPr>
          <w:rFonts w:ascii="Times New Roman" w:hAnsi="Times New Roman" w:cs="Times New Roman"/>
          <w:sz w:val="24"/>
          <w:szCs w:val="24"/>
        </w:rPr>
        <w:tab/>
        <w:t xml:space="preserve">Очевидно, что как экономическая, так и политическая трансформация в Боснии не завершилась. БиГ отстает от своих стран-соседей в процессах интеграции с ЕС, большинство макроэкономических показателей в стране являются худшими в регионе. При оценке итогов политического транзита очевидно, что жизнеспособность политической системы, заложенной Дейтонскими соглашениями, вызывает вопросы. </w:t>
      </w:r>
    </w:p>
    <w:p w:rsidR="0023376E" w:rsidRPr="0023376E" w:rsidRDefault="0023376E" w:rsidP="0023376E">
      <w:pPr>
        <w:jc w:val="both"/>
        <w:rPr>
          <w:rFonts w:ascii="Times New Roman" w:hAnsi="Times New Roman" w:cs="Times New Roman"/>
          <w:sz w:val="24"/>
          <w:szCs w:val="24"/>
        </w:rPr>
      </w:pPr>
      <w:r w:rsidRPr="0023376E">
        <w:rPr>
          <w:rFonts w:ascii="Times New Roman" w:hAnsi="Times New Roman" w:cs="Times New Roman"/>
          <w:sz w:val="24"/>
          <w:szCs w:val="24"/>
        </w:rPr>
        <w:t>3.</w:t>
      </w:r>
      <w:r w:rsidRPr="0023376E">
        <w:rPr>
          <w:rFonts w:ascii="Times New Roman" w:hAnsi="Times New Roman" w:cs="Times New Roman"/>
          <w:sz w:val="24"/>
          <w:szCs w:val="24"/>
        </w:rPr>
        <w:tab/>
        <w:t xml:space="preserve">Тяжелая экономическая ситуация в БиГ и, как следствие, проблемы в социальной сфере делают страну уязвимой перед геополитическими угрозами последних лет. Вызывают обеспокоенность рост террористической угрозы и возможное обострение межэтнических проблем. </w:t>
      </w:r>
    </w:p>
    <w:p w:rsidR="0023376E" w:rsidRPr="0023376E" w:rsidRDefault="0023376E" w:rsidP="0023376E">
      <w:pPr>
        <w:jc w:val="both"/>
        <w:rPr>
          <w:rFonts w:ascii="Times New Roman" w:hAnsi="Times New Roman" w:cs="Times New Roman"/>
          <w:sz w:val="24"/>
          <w:szCs w:val="24"/>
        </w:rPr>
      </w:pPr>
      <w:bookmarkStart w:id="0" w:name="_GoBack"/>
      <w:bookmarkEnd w:id="0"/>
    </w:p>
    <w:sectPr w:rsidR="0023376E" w:rsidRPr="00233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8B"/>
    <w:rsid w:val="00170E1C"/>
    <w:rsid w:val="001A70EF"/>
    <w:rsid w:val="0023376E"/>
    <w:rsid w:val="002553D5"/>
    <w:rsid w:val="004E0BE7"/>
    <w:rsid w:val="0086258B"/>
    <w:rsid w:val="00E2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229D5-63FF-46DA-8608-67EC5B3B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1588</Words>
  <Characters>9056</Characters>
  <Application>Microsoft Office Word</Application>
  <DocSecurity>0</DocSecurity>
  <Lines>75</Lines>
  <Paragraphs>21</Paragraphs>
  <ScaleCrop>false</ScaleCrop>
  <Company>SPecialiST RePack</Company>
  <LinksUpToDate>false</LinksUpToDate>
  <CharactersWithSpaces>10623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dc:creator>
  <cp:keywords/>
  <dc:description/>
  <cp:lastModifiedBy>Anatoli</cp:lastModifiedBy>
  <cp:revision>2</cp:revision>
  <dcterms:created xsi:type="dcterms:W3CDTF">2017-09-20T21:39:00Z</dcterms:created>
  <dcterms:modified xsi:type="dcterms:W3CDTF">2017-09-20T21:54:00Z</dcterms:modified>
</cp:coreProperties>
</file>