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F1" w:rsidRDefault="003D5BF1" w:rsidP="003D5BF1">
      <w:pPr>
        <w:rPr>
          <w:rFonts w:ascii="Times New Roman" w:hAnsi="Times New Roman"/>
          <w:b/>
          <w:sz w:val="28"/>
        </w:rPr>
      </w:pPr>
      <w:bookmarkStart w:id="0" w:name="_GoBack"/>
      <w:bookmarkEnd w:id="0"/>
      <w:r w:rsidRPr="00BA286D"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  <w:t>Аминова Э.М.</w:t>
      </w:r>
      <w:r>
        <w:rPr>
          <w:rFonts w:ascii="Times New Roman" w:hAnsi="Times New Roman" w:cs="Times New Roman"/>
          <w:b/>
          <w:color w:val="3F3F3F"/>
          <w:sz w:val="28"/>
          <w:szCs w:val="28"/>
          <w:shd w:val="clear" w:color="auto" w:fill="FFFFFF"/>
        </w:rPr>
        <w:t xml:space="preserve"> </w:t>
      </w:r>
      <w:proofErr w:type="spellStart"/>
      <w:r w:rsidRPr="00BA286D">
        <w:rPr>
          <w:rFonts w:ascii="Times New Roman" w:hAnsi="Times New Roman"/>
          <w:b/>
          <w:sz w:val="28"/>
        </w:rPr>
        <w:t>к.ю.н</w:t>
      </w:r>
      <w:proofErr w:type="spellEnd"/>
      <w:r w:rsidRPr="00BA286D">
        <w:rPr>
          <w:rFonts w:ascii="Times New Roman" w:hAnsi="Times New Roman"/>
          <w:b/>
          <w:sz w:val="28"/>
        </w:rPr>
        <w:t xml:space="preserve">., к.т.н., профессор, </w:t>
      </w:r>
    </w:p>
    <w:p w:rsidR="003D5BF1" w:rsidRDefault="003D5BF1" w:rsidP="003D5BF1">
      <w:pPr>
        <w:rPr>
          <w:rFonts w:ascii="Times New Roman" w:hAnsi="Times New Roman"/>
          <w:b/>
          <w:sz w:val="28"/>
        </w:rPr>
      </w:pPr>
      <w:r w:rsidRPr="00BA286D">
        <w:rPr>
          <w:rFonts w:ascii="Times New Roman" w:hAnsi="Times New Roman"/>
          <w:b/>
          <w:sz w:val="28"/>
        </w:rPr>
        <w:t xml:space="preserve">доцент кафедры </w:t>
      </w:r>
      <w:r>
        <w:rPr>
          <w:rFonts w:ascii="Times New Roman" w:hAnsi="Times New Roman"/>
          <w:b/>
          <w:sz w:val="28"/>
        </w:rPr>
        <w:t xml:space="preserve"> </w:t>
      </w:r>
      <w:r w:rsidRPr="00BA286D">
        <w:rPr>
          <w:rFonts w:ascii="Times New Roman" w:hAnsi="Times New Roman"/>
          <w:b/>
          <w:sz w:val="28"/>
        </w:rPr>
        <w:t>правов</w:t>
      </w:r>
      <w:r>
        <w:rPr>
          <w:rFonts w:ascii="Times New Roman" w:hAnsi="Times New Roman"/>
          <w:b/>
          <w:sz w:val="28"/>
        </w:rPr>
        <w:t>ых основ управления</w:t>
      </w:r>
    </w:p>
    <w:p w:rsidR="003D5BF1" w:rsidRPr="00BA286D" w:rsidRDefault="003D5BF1" w:rsidP="003D5BF1">
      <w:pPr>
        <w:rPr>
          <w:rFonts w:ascii="Times New Roman" w:hAnsi="Times New Roman"/>
          <w:b/>
          <w:sz w:val="28"/>
        </w:rPr>
      </w:pPr>
      <w:r w:rsidRPr="00BA286D">
        <w:rPr>
          <w:rFonts w:ascii="Times New Roman" w:hAnsi="Times New Roman"/>
          <w:b/>
          <w:sz w:val="28"/>
        </w:rPr>
        <w:t xml:space="preserve"> МГИМО</w:t>
      </w:r>
      <w:r>
        <w:rPr>
          <w:rFonts w:ascii="Times New Roman" w:hAnsi="Times New Roman"/>
          <w:b/>
          <w:sz w:val="28"/>
        </w:rPr>
        <w:t xml:space="preserve"> </w:t>
      </w:r>
      <w:r w:rsidRPr="00BA286D">
        <w:rPr>
          <w:rFonts w:ascii="Times New Roman" w:hAnsi="Times New Roman"/>
          <w:b/>
          <w:sz w:val="28"/>
        </w:rPr>
        <w:t xml:space="preserve">(У) МИД России </w:t>
      </w:r>
    </w:p>
    <w:p w:rsidR="003D5BF1" w:rsidRDefault="003D5BF1" w:rsidP="003D5BF1">
      <w:pPr>
        <w:pStyle w:val="Default"/>
        <w:spacing w:line="360" w:lineRule="auto"/>
        <w:ind w:firstLine="709"/>
        <w:jc w:val="center"/>
        <w:rPr>
          <w:b/>
          <w:caps/>
          <w:color w:val="3F3F3F"/>
          <w:sz w:val="28"/>
          <w:szCs w:val="28"/>
          <w:shd w:val="clear" w:color="auto" w:fill="FFFFFF"/>
        </w:rPr>
      </w:pPr>
      <w:r w:rsidRPr="00D20D1C">
        <w:rPr>
          <w:b/>
          <w:caps/>
          <w:color w:val="3F3F3F"/>
          <w:sz w:val="28"/>
          <w:szCs w:val="28"/>
          <w:shd w:val="clear" w:color="auto" w:fill="FFFFFF"/>
        </w:rPr>
        <w:t>Вектор развития - регулируемая финансовая глобализация</w:t>
      </w:r>
    </w:p>
    <w:p w:rsidR="003D5BF1" w:rsidRPr="00C54A57" w:rsidRDefault="003D5BF1" w:rsidP="003D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A57">
        <w:rPr>
          <w:rFonts w:ascii="Times New Roman" w:hAnsi="Times New Roman" w:cs="Times New Roman"/>
          <w:sz w:val="28"/>
          <w:szCs w:val="28"/>
        </w:rPr>
        <w:t xml:space="preserve">Главной общемировой тенденцией современности является  глобальная интеграция, характерной чертой </w:t>
      </w:r>
      <w:proofErr w:type="gramStart"/>
      <w:r w:rsidRPr="00C54A5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C54A57">
        <w:rPr>
          <w:rFonts w:ascii="Times New Roman" w:hAnsi="Times New Roman" w:cs="Times New Roman"/>
          <w:sz w:val="28"/>
          <w:szCs w:val="28"/>
        </w:rPr>
        <w:t xml:space="preserve"> является возрастание роли межгосударственных интеграционных  союзов и блоков, связанных с трансграничным сотрудничеством государств (Европейский Союз,   Евразийский экономический союз, БРИКС и др.). Успех  международного сотрудничества, в частности в рамках ЕС, достиг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C54A57">
        <w:rPr>
          <w:rFonts w:ascii="Times New Roman" w:hAnsi="Times New Roman" w:cs="Times New Roman"/>
          <w:sz w:val="28"/>
          <w:szCs w:val="28"/>
        </w:rPr>
        <w:t xml:space="preserve"> за  счет реализации интеграционного, синергетического эффекта от</w:t>
      </w:r>
      <w:r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Pr="00C54A57">
        <w:rPr>
          <w:rFonts w:ascii="Times New Roman" w:hAnsi="Times New Roman" w:cs="Times New Roman"/>
          <w:sz w:val="28"/>
          <w:szCs w:val="28"/>
        </w:rPr>
        <w:t>, подразумевающего достижение коллективной конкурентоспособности на внешних рынках, вместо  «здоровой конкуренции» внутри союза. Объяснение этому эффекту дает  закон вертикальной интеграции, сформулированный  российским ученым С.С. Губановым в 1996 г. [1] , в соответствии  которым «прибыль компании, интегрировавшей в себе все фазы преобразования сырья в конечный продукт, оказывается существенно выше суммы прибылей этих производств, функционирующих раздельно». Тем самым закон вертикальной интеграции объясняет причины образования мо</w:t>
      </w:r>
      <w:r>
        <w:rPr>
          <w:rFonts w:ascii="Times New Roman" w:hAnsi="Times New Roman" w:cs="Times New Roman"/>
          <w:sz w:val="28"/>
          <w:szCs w:val="28"/>
        </w:rPr>
        <w:t>щных</w:t>
      </w:r>
      <w:r w:rsidRPr="00C54A57">
        <w:rPr>
          <w:rFonts w:ascii="Times New Roman" w:hAnsi="Times New Roman" w:cs="Times New Roman"/>
          <w:sz w:val="28"/>
          <w:szCs w:val="28"/>
        </w:rPr>
        <w:t xml:space="preserve"> вертикально-интегрированных, а потому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4A57">
        <w:rPr>
          <w:rFonts w:ascii="Times New Roman" w:hAnsi="Times New Roman" w:cs="Times New Roman"/>
          <w:sz w:val="28"/>
          <w:szCs w:val="28"/>
        </w:rPr>
        <w:t xml:space="preserve">весьма эффективных транснациональных корпораций (ТНК), </w:t>
      </w:r>
      <w:r>
        <w:rPr>
          <w:rFonts w:ascii="Times New Roman" w:hAnsi="Times New Roman" w:cs="Times New Roman"/>
          <w:sz w:val="28"/>
          <w:szCs w:val="28"/>
        </w:rPr>
        <w:t>сшивающих</w:t>
      </w:r>
      <w:r w:rsidRPr="00C54A57">
        <w:rPr>
          <w:rFonts w:ascii="Times New Roman" w:hAnsi="Times New Roman" w:cs="Times New Roman"/>
          <w:sz w:val="28"/>
          <w:szCs w:val="28"/>
        </w:rPr>
        <w:t xml:space="preserve"> экономическими связями страны и континенты и тем самым запускающих процессы трансграничного сотрудничества и межгосударственной интеграции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4A57">
        <w:rPr>
          <w:rFonts w:ascii="Times New Roman" w:hAnsi="Times New Roman" w:cs="Times New Roman"/>
          <w:sz w:val="28"/>
          <w:szCs w:val="28"/>
        </w:rPr>
        <w:t>.</w:t>
      </w:r>
    </w:p>
    <w:p w:rsidR="003D5BF1" w:rsidRPr="00C54A57" w:rsidRDefault="003D5BF1" w:rsidP="003D5BF1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A57">
        <w:rPr>
          <w:rFonts w:ascii="Times New Roman" w:hAnsi="Times New Roman" w:cs="Times New Roman"/>
          <w:sz w:val="28"/>
          <w:szCs w:val="28"/>
        </w:rPr>
        <w:t xml:space="preserve">В условиях глобальной интеграции быстрее всего возрастает и ускоряется трансграничная мобильность капиталов, При этом усложняется взаимозависимость и взаимопроникновение  элементов системы  трансграничных инвестиций. </w:t>
      </w:r>
      <w:r w:rsidRPr="00C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Формирующийся транснациональный капитал  приобретает черты системы,  способной провоцировать экономические кризисы,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локального</w:t>
      </w:r>
      <w:r w:rsidRPr="00C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глобального характера, которые могут быть жизненно опасными для взаимозависимых стран. И задача национальных государств  и международных организаций и институтов,  объединенными усилиями создать систему управляемых </w:t>
      </w:r>
      <w:proofErr w:type="spellStart"/>
      <w:r w:rsidRPr="00C54A5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геофинансов</w:t>
      </w:r>
      <w:proofErr w:type="spellEnd"/>
      <w:r w:rsidRPr="00C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D5BF1" w:rsidRPr="00C54A57" w:rsidRDefault="003D5BF1" w:rsidP="003D5BF1">
      <w:pPr>
        <w:spacing w:before="15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Существующие </w:t>
      </w:r>
      <w:r w:rsidRPr="00C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экономические организации - МВФ,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банк, ВТО, и т.д. - </w:t>
      </w:r>
      <w:r w:rsidRPr="00C54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справляются с этими задачами, поскольку провозглашая в своих уставах цели стабилизации международных финансов и мировой экономики, </w:t>
      </w:r>
      <w:r w:rsidRPr="00C54A57">
        <w:rPr>
          <w:rFonts w:ascii="Times New Roman" w:hAnsi="Times New Roman" w:cs="Times New Roman"/>
          <w:color w:val="333333"/>
          <w:sz w:val="28"/>
          <w:szCs w:val="28"/>
        </w:rPr>
        <w:t>не </w:t>
      </w:r>
      <w:r>
        <w:rPr>
          <w:rFonts w:ascii="Times New Roman" w:hAnsi="Times New Roman" w:cs="Times New Roman"/>
          <w:color w:val="333333"/>
          <w:sz w:val="28"/>
          <w:szCs w:val="28"/>
        </w:rPr>
        <w:t>учитывают</w:t>
      </w:r>
      <w:r w:rsidRPr="00C54A57">
        <w:rPr>
          <w:rFonts w:ascii="Times New Roman" w:hAnsi="Times New Roman" w:cs="Times New Roman"/>
          <w:color w:val="333333"/>
          <w:sz w:val="28"/>
          <w:szCs w:val="28"/>
        </w:rPr>
        <w:t xml:space="preserve"> возросший экономический вес развивающихся стран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Pr="00C54A57">
        <w:rPr>
          <w:rFonts w:ascii="Times New Roman" w:hAnsi="Times New Roman" w:cs="Times New Roman"/>
          <w:color w:val="333333"/>
          <w:sz w:val="28"/>
          <w:szCs w:val="28"/>
        </w:rPr>
        <w:t>не обеспечивают сбалансированно</w:t>
      </w:r>
      <w:r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C54A57">
        <w:rPr>
          <w:rFonts w:ascii="Times New Roman" w:hAnsi="Times New Roman" w:cs="Times New Roman"/>
          <w:color w:val="333333"/>
          <w:sz w:val="28"/>
          <w:szCs w:val="28"/>
        </w:rPr>
        <w:t xml:space="preserve"> распределение квот и голосов в МВФ и Всемирном банке</w:t>
      </w:r>
      <w:r>
        <w:rPr>
          <w:rFonts w:ascii="Times New Roman" w:hAnsi="Times New Roman" w:cs="Times New Roman"/>
          <w:color w:val="333333"/>
          <w:sz w:val="28"/>
          <w:szCs w:val="28"/>
        </w:rPr>
        <w:t>, отвечая интересам экономически ограниченного числа экономически развитых стран.</w:t>
      </w:r>
      <w:proofErr w:type="gramEnd"/>
    </w:p>
    <w:p w:rsidR="003D5BF1" w:rsidRDefault="003D5BF1" w:rsidP="003D5BF1">
      <w:pPr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4A57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перспективным для России в этом направлении можно считать </w:t>
      </w:r>
      <w:r w:rsidRPr="00C54A57">
        <w:rPr>
          <w:rFonts w:ascii="Times New Roman" w:hAnsi="Times New Roman" w:cs="Times New Roman"/>
          <w:color w:val="333333"/>
          <w:sz w:val="28"/>
          <w:szCs w:val="28"/>
        </w:rPr>
        <w:t>БРИКС и БРИКС+, в рамках которых возможно реформирование в области международного финансового регулирования и создание новой современной глобальной финансово-экономической архитектуры в интересах большинства развивающихся стран.</w:t>
      </w:r>
      <w:r w:rsidRPr="00C54A57">
        <w:rPr>
          <w:rFonts w:ascii="Times New Roman" w:hAnsi="Times New Roman" w:cs="Times New Roman"/>
          <w:sz w:val="28"/>
          <w:szCs w:val="28"/>
        </w:rPr>
        <w:t xml:space="preserve"> </w:t>
      </w:r>
      <w:r w:rsidRPr="00C54A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Согласно </w:t>
      </w:r>
      <w:hyperlink r:id="rId5" w:tgtFrame="_blank" w:history="1">
        <w:r w:rsidRPr="00C54A57">
          <w:rPr>
            <w:rFonts w:ascii="Times New Roman" w:hAnsi="Times New Roman" w:cs="Times New Roman"/>
            <w:color w:val="0063A7"/>
            <w:sz w:val="28"/>
            <w:szCs w:val="28"/>
            <w:u w:val="single"/>
            <w:bdr w:val="none" w:sz="0" w:space="0" w:color="auto" w:frame="1"/>
          </w:rPr>
          <w:t>Концепции внешней политики России (2016 г.)</w:t>
        </w:r>
      </w:hyperlink>
      <w:r w:rsidRPr="00C54A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БРИКС воспринимается как кратчайший путь для России приобрести новую степень влияния в глобальном управлении и участвовать в строительстве многополярного мирового порядка совместно с другими развивающимися странами. </w:t>
      </w:r>
    </w:p>
    <w:p w:rsidR="003D5BF1" w:rsidRPr="00976966" w:rsidRDefault="003D5BF1" w:rsidP="003D5BF1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976966">
        <w:rPr>
          <w:rFonts w:ascii="Times New Roman" w:hAnsi="Times New Roman" w:cs="Times New Roman"/>
          <w:color w:val="333333"/>
          <w:sz w:val="28"/>
          <w:szCs w:val="28"/>
        </w:rPr>
        <w:t>Круг стран-членов БРИКС+ мог бы служить расширенной платформой для создания платёжных систем стран БРИКС+ и их распространения в соответствующих регионах. Он также мог бы стать платформой для более широкого использования национальных валют в торговых и инвестиционных сделках, в создании собственных резервных валют, а также региональных и мировых финансовых центров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7696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3D5BF1" w:rsidRPr="00976966" w:rsidRDefault="003D5BF1" w:rsidP="003D5BF1">
      <w:pPr>
        <w:pStyle w:val="a3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Таким образом,</w:t>
      </w:r>
      <w:r w:rsidRPr="00C54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утверждать, что на современном этапе  социально-экономическое развитие российского государства возможно путем  </w:t>
      </w:r>
      <w:r w:rsidRPr="00C54A57">
        <w:rPr>
          <w:rFonts w:ascii="Times New Roman" w:hAnsi="Times New Roman"/>
          <w:sz w:val="28"/>
          <w:szCs w:val="28"/>
        </w:rPr>
        <w:t>достижения регулируемой финансовой глобализации</w:t>
      </w:r>
      <w:r>
        <w:rPr>
          <w:rFonts w:ascii="Times New Roman" w:hAnsi="Times New Roman"/>
          <w:sz w:val="28"/>
          <w:szCs w:val="28"/>
        </w:rPr>
        <w:t xml:space="preserve"> в условиях </w:t>
      </w:r>
      <w:r w:rsidRPr="00C54A57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сширения и углубления </w:t>
      </w:r>
      <w:r w:rsidRPr="00C54A57">
        <w:rPr>
          <w:rFonts w:ascii="Times New Roman" w:hAnsi="Times New Roman"/>
          <w:sz w:val="28"/>
          <w:szCs w:val="28"/>
        </w:rPr>
        <w:t>межгосударственной интеграции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D5BF1" w:rsidRPr="00F76D8E" w:rsidRDefault="003D5BF1" w:rsidP="003D5BF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76D8E">
        <w:rPr>
          <w:rFonts w:ascii="Times New Roman" w:hAnsi="Times New Roman"/>
          <w:b/>
          <w:sz w:val="28"/>
        </w:rPr>
        <w:t>Ключевые слова:</w:t>
      </w:r>
      <w:r w:rsidRPr="00F76D8E">
        <w:rPr>
          <w:rFonts w:ascii="Times New Roman" w:hAnsi="Times New Roman"/>
          <w:sz w:val="28"/>
        </w:rPr>
        <w:t xml:space="preserve"> межгосударственная интеграция,  </w:t>
      </w:r>
      <w:r w:rsidRPr="00F76D8E">
        <w:rPr>
          <w:rFonts w:ascii="Times New Roman" w:hAnsi="Times New Roman"/>
          <w:sz w:val="28"/>
          <w:szCs w:val="28"/>
        </w:rPr>
        <w:t xml:space="preserve">либерализации </w:t>
      </w:r>
      <w:r w:rsidRPr="00F76D8E">
        <w:rPr>
          <w:rStyle w:val="blk"/>
          <w:rFonts w:ascii="Times New Roman" w:hAnsi="Times New Roman"/>
          <w:sz w:val="28"/>
          <w:szCs w:val="28"/>
        </w:rPr>
        <w:t xml:space="preserve"> трансграничных капиталов, </w:t>
      </w:r>
      <w:r>
        <w:rPr>
          <w:rStyle w:val="blk"/>
          <w:rFonts w:ascii="Times New Roman" w:hAnsi="Times New Roman"/>
          <w:sz w:val="28"/>
          <w:szCs w:val="28"/>
        </w:rPr>
        <w:t xml:space="preserve">регулируемая </w:t>
      </w:r>
      <w:r w:rsidRPr="00F76D8E">
        <w:rPr>
          <w:rFonts w:ascii="Times New Roman" w:eastAsia="Times New Roman" w:hAnsi="Times New Roman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глобализация, БРИКС.</w:t>
      </w:r>
    </w:p>
    <w:p w:rsidR="000161E1" w:rsidRDefault="000161E1"/>
    <w:sectPr w:rsidR="0001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F1"/>
    <w:rsid w:val="000161E1"/>
    <w:rsid w:val="003D5BF1"/>
    <w:rsid w:val="004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D5BF1"/>
  </w:style>
  <w:style w:type="paragraph" w:customStyle="1" w:styleId="Default">
    <w:name w:val="Default"/>
    <w:rsid w:val="003D5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3D5B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D5BF1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D5BF1"/>
  </w:style>
  <w:style w:type="paragraph" w:customStyle="1" w:styleId="Default">
    <w:name w:val="Default"/>
    <w:rsid w:val="003D5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unhideWhenUsed/>
    <w:rsid w:val="003D5B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D5BF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d.ru/foreign_policy/news/-/asset_publisher/cKNonkJE02Bw/content/id/25422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 Ramaldanov</dc:creator>
  <cp:lastModifiedBy>Мастушкин</cp:lastModifiedBy>
  <cp:revision>2</cp:revision>
  <dcterms:created xsi:type="dcterms:W3CDTF">2017-09-25T09:47:00Z</dcterms:created>
  <dcterms:modified xsi:type="dcterms:W3CDTF">2017-09-25T09:47:00Z</dcterms:modified>
</cp:coreProperties>
</file>