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FB" w:rsidRDefault="00C230FB" w:rsidP="00C230FB">
      <w:pPr>
        <w:spacing w:after="0"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Добросоцкий Виктор Иванович</w:t>
      </w:r>
    </w:p>
    <w:p w:rsidR="00C230FB" w:rsidRDefault="00EC0E5C" w:rsidP="00C230FB">
      <w:pPr>
        <w:spacing w:after="0" w:line="360" w:lineRule="auto"/>
        <w:rPr>
          <w:rFonts w:ascii="Times New Roman" w:hAnsi="Times New Roman" w:cs="Times New Roman"/>
          <w:sz w:val="28"/>
          <w:szCs w:val="28"/>
        </w:rPr>
      </w:pPr>
      <w:r w:rsidRPr="00EC0E5C">
        <w:rPr>
          <w:rFonts w:ascii="Times New Roman" w:hAnsi="Times New Roman" w:cs="Times New Roman"/>
          <w:sz w:val="28"/>
          <w:szCs w:val="28"/>
        </w:rPr>
        <w:t>Профессор</w:t>
      </w:r>
      <w:r>
        <w:rPr>
          <w:rFonts w:ascii="Times New Roman" w:hAnsi="Times New Roman" w:cs="Times New Roman"/>
          <w:sz w:val="28"/>
          <w:szCs w:val="28"/>
        </w:rPr>
        <w:t xml:space="preserve"> кафедры</w:t>
      </w:r>
      <w:r w:rsidR="00C230FB">
        <w:rPr>
          <w:rFonts w:ascii="Times New Roman" w:hAnsi="Times New Roman" w:cs="Times New Roman"/>
          <w:sz w:val="28"/>
          <w:szCs w:val="28"/>
        </w:rPr>
        <w:t xml:space="preserve"> государственного управления и права Московского государственного института международных отношений </w:t>
      </w:r>
      <w:r w:rsidR="00D8274A">
        <w:rPr>
          <w:rFonts w:ascii="Times New Roman" w:hAnsi="Times New Roman" w:cs="Times New Roman"/>
          <w:sz w:val="28"/>
          <w:szCs w:val="28"/>
        </w:rPr>
        <w:t>(МИД России).</w:t>
      </w:r>
    </w:p>
    <w:p w:rsidR="00C230FB" w:rsidRDefault="00EC0E5C" w:rsidP="00C230FB">
      <w:pPr>
        <w:spacing w:after="0" w:line="360" w:lineRule="auto"/>
        <w:rPr>
          <w:rFonts w:ascii="Times New Roman" w:hAnsi="Times New Roman" w:cs="Times New Roman"/>
          <w:sz w:val="28"/>
          <w:szCs w:val="28"/>
        </w:rPr>
      </w:pPr>
      <w:r>
        <w:rPr>
          <w:rFonts w:ascii="Times New Roman" w:hAnsi="Times New Roman" w:cs="Times New Roman"/>
          <w:sz w:val="28"/>
          <w:szCs w:val="28"/>
        </w:rPr>
        <w:t>Доктор экономических наук.</w:t>
      </w:r>
    </w:p>
    <w:p w:rsidR="00C230FB" w:rsidRDefault="00C230FB" w:rsidP="00C230FB">
      <w:pPr>
        <w:spacing w:after="0" w:line="360" w:lineRule="auto"/>
        <w:rPr>
          <w:rFonts w:ascii="Times New Roman" w:hAnsi="Times New Roman" w:cs="Times New Roman"/>
          <w:sz w:val="28"/>
          <w:szCs w:val="28"/>
        </w:rPr>
      </w:pPr>
      <w:r w:rsidRPr="00AA4434">
        <w:rPr>
          <w:rFonts w:ascii="Times New Roman" w:hAnsi="Times New Roman" w:cs="Times New Roman"/>
          <w:sz w:val="28"/>
          <w:szCs w:val="28"/>
        </w:rPr>
        <w:t>dobrosotskiy@gmail.com</w:t>
      </w:r>
    </w:p>
    <w:p w:rsidR="00C230FB" w:rsidRPr="00C230FB" w:rsidRDefault="00D8274A" w:rsidP="00C230FB">
      <w:pPr>
        <w:jc w:val="center"/>
        <w:rPr>
          <w:rFonts w:ascii="Times New Roman" w:hAnsi="Times New Roman" w:cs="Times New Roman"/>
          <w:b/>
          <w:sz w:val="28"/>
          <w:szCs w:val="28"/>
        </w:rPr>
      </w:pPr>
      <w:r>
        <w:rPr>
          <w:rFonts w:ascii="Times New Roman" w:hAnsi="Times New Roman" w:cs="Times New Roman"/>
          <w:b/>
          <w:sz w:val="28"/>
          <w:szCs w:val="28"/>
        </w:rPr>
        <w:t xml:space="preserve">Продовольственная безопасность </w:t>
      </w:r>
    </w:p>
    <w:p w:rsidR="00C230FB" w:rsidRPr="009C01A1" w:rsidRDefault="00D8274A" w:rsidP="00C230FB">
      <w:pPr>
        <w:jc w:val="center"/>
        <w:rPr>
          <w:rFonts w:ascii="Times New Roman" w:hAnsi="Times New Roman" w:cs="Times New Roman"/>
          <w:b/>
          <w:sz w:val="28"/>
          <w:szCs w:val="28"/>
        </w:rPr>
      </w:pPr>
      <w:r>
        <w:rPr>
          <w:rFonts w:ascii="Times New Roman" w:hAnsi="Times New Roman" w:cs="Times New Roman"/>
          <w:b/>
          <w:sz w:val="28"/>
          <w:szCs w:val="28"/>
        </w:rPr>
        <w:t>Евразийского экономического Союза.</w:t>
      </w:r>
    </w:p>
    <w:p w:rsidR="009C01A1" w:rsidRPr="009C01A1" w:rsidRDefault="009C01A1" w:rsidP="00D8274A">
      <w:pPr>
        <w:spacing w:after="0" w:line="360" w:lineRule="auto"/>
        <w:jc w:val="both"/>
        <w:rPr>
          <w:rFonts w:ascii="Times New Roman" w:hAnsi="Times New Roman" w:cs="Times New Roman"/>
          <w:sz w:val="28"/>
          <w:szCs w:val="28"/>
        </w:rPr>
      </w:pPr>
      <w:r w:rsidRPr="009C01A1">
        <w:rPr>
          <w:rFonts w:ascii="Times New Roman" w:hAnsi="Times New Roman" w:cs="Times New Roman"/>
          <w:sz w:val="28"/>
          <w:szCs w:val="28"/>
        </w:rPr>
        <w:t>Продовольственная безопасность — официально принятая в международной практике экономическая категория, которая используется для характеристики состояния продовольственного рынка страны или группы стран, а также мирового рынка, при котором обеспечивается гарантированный доступ всех социальных групп населения к жизненно важным продуктам питания в любое время и объемах, достаточных для достижения медицинских норм потребления.</w:t>
      </w:r>
    </w:p>
    <w:p w:rsidR="009C01A1" w:rsidRPr="009C01A1" w:rsidRDefault="009C01A1" w:rsidP="00D8274A">
      <w:pPr>
        <w:spacing w:after="0" w:line="360" w:lineRule="auto"/>
        <w:jc w:val="both"/>
        <w:rPr>
          <w:rFonts w:ascii="Times New Roman" w:hAnsi="Times New Roman" w:cs="Times New Roman"/>
          <w:sz w:val="28"/>
          <w:szCs w:val="28"/>
        </w:rPr>
      </w:pPr>
      <w:r w:rsidRPr="009C01A1">
        <w:rPr>
          <w:rFonts w:ascii="Times New Roman" w:hAnsi="Times New Roman" w:cs="Times New Roman"/>
          <w:sz w:val="28"/>
          <w:szCs w:val="28"/>
        </w:rPr>
        <w:t xml:space="preserve">Одной из главных проблем экономической устойчивости мировой системы является неэффективное государственное управление. Во многом проблема продовольственной безопасности зависит именно от этого фактора,  так как изначально продовольственная безопасность по своей экономической природе базируется на правильном подборе инструментариев государственного регулирования способных конкурировать на внутренних мировых рынках. </w:t>
      </w:r>
    </w:p>
    <w:p w:rsidR="009C01A1" w:rsidRPr="009C01A1" w:rsidRDefault="009C01A1" w:rsidP="00D827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этой связи, </w:t>
      </w:r>
      <w:r w:rsidRPr="009C01A1">
        <w:rPr>
          <w:rFonts w:ascii="Times New Roman" w:hAnsi="Times New Roman" w:cs="Times New Roman"/>
          <w:sz w:val="28"/>
          <w:szCs w:val="28"/>
        </w:rPr>
        <w:t xml:space="preserve">проблемы продовольственной безопасности модернизируются из проблем поддержания национальной безопасности каждого государства в отдельную систему глобального межгосударственного партнерства, направленное на удовлетворение ускоренного роста спроса на продукты питания в странах Юго-Восточной Азии и предотвращение масштабирования голода во всем мире. Глобализация современного мироустройства обостряет процессы конкуренции на мировом продовольственном рынке  и требует от всех государственных институтов внедрения новых форм государственного </w:t>
      </w:r>
      <w:r w:rsidRPr="009C01A1">
        <w:rPr>
          <w:rFonts w:ascii="Times New Roman" w:hAnsi="Times New Roman" w:cs="Times New Roman"/>
          <w:sz w:val="28"/>
          <w:szCs w:val="28"/>
        </w:rPr>
        <w:lastRenderedPageBreak/>
        <w:t>управления, способных адекватно реагировать на новые глобальные угрозы, включая голод и мировую миграцию.</w:t>
      </w:r>
    </w:p>
    <w:p w:rsidR="009C01A1" w:rsidRDefault="009C01A1" w:rsidP="00D8274A">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Расс</w:t>
      </w:r>
      <w:r w:rsidRPr="0037034B">
        <w:rPr>
          <w:rFonts w:ascii="Times New Roman" w:hAnsi="Times New Roman" w:cs="Times New Roman"/>
          <w:sz w:val="28"/>
          <w:szCs w:val="28"/>
        </w:rPr>
        <w:t>матривая вопросы коллективной продовольственной безопасности и формирования скоординированных эк</w:t>
      </w:r>
      <w:r w:rsidR="00D8274A">
        <w:rPr>
          <w:rFonts w:ascii="Times New Roman" w:hAnsi="Times New Roman" w:cs="Times New Roman"/>
          <w:sz w:val="28"/>
          <w:szCs w:val="28"/>
        </w:rPr>
        <w:t>спортных потоков в рамках ЕАЭС</w:t>
      </w:r>
      <w:r w:rsidRPr="0037034B">
        <w:rPr>
          <w:rFonts w:ascii="Times New Roman" w:hAnsi="Times New Roman" w:cs="Times New Roman"/>
          <w:sz w:val="28"/>
          <w:szCs w:val="28"/>
        </w:rPr>
        <w:t>, целесообразно одновременно предусмотреть механизмы и экономические инструменты, обеспечивающие сбалансированность внутренних рынков, с тем, чтобы не создавать трудности у сельскохозяйственных товаропроизводителей, которые будут увеличивать объемы производства за счет освоения научно-технических достижений</w:t>
      </w:r>
    </w:p>
    <w:p w:rsidR="0037034B" w:rsidRDefault="00901245" w:rsidP="00D8274A">
      <w:pPr>
        <w:spacing w:after="0" w:line="360" w:lineRule="auto"/>
        <w:jc w:val="both"/>
        <w:rPr>
          <w:rFonts w:ascii="Times New Roman" w:hAnsi="Times New Roman" w:cs="Times New Roman"/>
          <w:sz w:val="28"/>
          <w:szCs w:val="28"/>
        </w:rPr>
      </w:pPr>
      <w:r w:rsidRPr="0037034B">
        <w:rPr>
          <w:rFonts w:ascii="Times New Roman" w:hAnsi="Times New Roman" w:cs="Times New Roman"/>
          <w:sz w:val="28"/>
          <w:szCs w:val="28"/>
        </w:rPr>
        <w:t>Цель агропромышленной политики – обеспечение динамичного развития всех сфер агропромышленного комплекса, повышение его эффективности и конкурентоспособности, достижение на этой основе продовольственной безопасности каждого государства-члена ЕАЭС и Союза в целом, комплексное решение социально-экономических проблем развития сельских регионов, выработка скоординированной политики в области государственных закупок сельскохозяйственного сырья и продовольствия, промышленных товаров, используемых в АПК.</w:t>
      </w:r>
    </w:p>
    <w:p w:rsidR="0037034B" w:rsidRPr="0037034B" w:rsidRDefault="0037034B" w:rsidP="00D8274A">
      <w:pPr>
        <w:spacing w:after="0" w:line="360" w:lineRule="auto"/>
        <w:jc w:val="both"/>
        <w:rPr>
          <w:rFonts w:ascii="Times New Roman" w:hAnsi="Times New Roman" w:cs="Times New Roman"/>
          <w:sz w:val="28"/>
          <w:szCs w:val="28"/>
        </w:rPr>
      </w:pPr>
      <w:r w:rsidRPr="0037034B">
        <w:rPr>
          <w:rFonts w:ascii="Times New Roman" w:hAnsi="Times New Roman" w:cs="Times New Roman"/>
          <w:sz w:val="28"/>
          <w:szCs w:val="28"/>
        </w:rPr>
        <w:t>Основным принципом агропромышленной политики является уважение национальных интересов государств-членов ЕАЭС при определении приоритетов, направленных на достижение общих целей. Соблюдая данный принцип, необходимо также:</w:t>
      </w:r>
    </w:p>
    <w:p w:rsidR="0037034B" w:rsidRPr="0037034B" w:rsidRDefault="0037034B" w:rsidP="00D8274A">
      <w:pPr>
        <w:spacing w:after="0" w:line="360" w:lineRule="auto"/>
        <w:jc w:val="both"/>
        <w:rPr>
          <w:rFonts w:ascii="Times New Roman" w:hAnsi="Times New Roman" w:cs="Times New Roman"/>
          <w:sz w:val="28"/>
          <w:szCs w:val="28"/>
        </w:rPr>
      </w:pPr>
      <w:r w:rsidRPr="0037034B">
        <w:rPr>
          <w:rFonts w:ascii="Times New Roman" w:hAnsi="Times New Roman" w:cs="Times New Roman"/>
          <w:sz w:val="28"/>
          <w:szCs w:val="28"/>
        </w:rPr>
        <w:t>– учитывать специфику агропромышленного комплекса каждого государства Союза;</w:t>
      </w:r>
    </w:p>
    <w:p w:rsidR="0037034B" w:rsidRPr="0037034B" w:rsidRDefault="0037034B" w:rsidP="00D8274A">
      <w:pPr>
        <w:spacing w:after="0" w:line="360" w:lineRule="auto"/>
        <w:jc w:val="both"/>
        <w:rPr>
          <w:rFonts w:ascii="Times New Roman" w:hAnsi="Times New Roman" w:cs="Times New Roman"/>
          <w:sz w:val="28"/>
          <w:szCs w:val="28"/>
        </w:rPr>
      </w:pPr>
      <w:r w:rsidRPr="0037034B">
        <w:rPr>
          <w:rFonts w:ascii="Times New Roman" w:hAnsi="Times New Roman" w:cs="Times New Roman"/>
          <w:sz w:val="28"/>
          <w:szCs w:val="28"/>
        </w:rPr>
        <w:t>– учитывать международные обязательства государств – членов ЕАЭС в области агропромышленной политики;</w:t>
      </w:r>
    </w:p>
    <w:p w:rsidR="0037034B" w:rsidRDefault="0037034B" w:rsidP="00D8274A">
      <w:pPr>
        <w:spacing w:after="0" w:line="360" w:lineRule="auto"/>
        <w:jc w:val="both"/>
        <w:rPr>
          <w:rFonts w:ascii="Times New Roman" w:hAnsi="Times New Roman" w:cs="Times New Roman"/>
          <w:sz w:val="28"/>
          <w:szCs w:val="28"/>
        </w:rPr>
      </w:pPr>
      <w:r w:rsidRPr="0037034B">
        <w:rPr>
          <w:rFonts w:ascii="Times New Roman" w:hAnsi="Times New Roman" w:cs="Times New Roman"/>
          <w:sz w:val="28"/>
          <w:szCs w:val="28"/>
        </w:rPr>
        <w:t>– учитывать эволюционность характера формирования механизмов согласованной агропромышленной политики, исходя из общей стратегии экономической интеграции государств-членов ЕАЭС</w:t>
      </w:r>
      <w:r w:rsidR="00D8274A">
        <w:rPr>
          <w:rFonts w:ascii="Times New Roman" w:hAnsi="Times New Roman" w:cs="Times New Roman"/>
          <w:sz w:val="28"/>
          <w:szCs w:val="28"/>
        </w:rPr>
        <w:t>.</w:t>
      </w:r>
    </w:p>
    <w:p w:rsidR="0037034B" w:rsidRDefault="0037034B" w:rsidP="00D8274A">
      <w:pPr>
        <w:spacing w:after="0" w:line="360" w:lineRule="auto"/>
        <w:jc w:val="both"/>
        <w:rPr>
          <w:rFonts w:ascii="Times New Roman" w:hAnsi="Times New Roman" w:cs="Times New Roman"/>
          <w:sz w:val="28"/>
          <w:szCs w:val="28"/>
        </w:rPr>
      </w:pPr>
    </w:p>
    <w:p w:rsidR="0037034B" w:rsidRPr="00FC3637" w:rsidRDefault="0037034B" w:rsidP="00D8274A">
      <w:pPr>
        <w:spacing w:after="0" w:line="360" w:lineRule="auto"/>
        <w:rPr>
          <w:rFonts w:ascii="Times New Roman" w:hAnsi="Times New Roman" w:cs="Times New Roman"/>
          <w:bCs/>
          <w:sz w:val="28"/>
          <w:szCs w:val="28"/>
        </w:rPr>
      </w:pPr>
      <w:r w:rsidRPr="00FC3637">
        <w:rPr>
          <w:rFonts w:ascii="Times New Roman" w:hAnsi="Times New Roman" w:cs="Times New Roman"/>
          <w:bCs/>
          <w:sz w:val="28"/>
          <w:szCs w:val="28"/>
        </w:rPr>
        <w:lastRenderedPageBreak/>
        <w:t xml:space="preserve">Несмотря на усложнение целей продовольственной безопасности в </w:t>
      </w:r>
      <w:r w:rsidR="00D8274A">
        <w:rPr>
          <w:rFonts w:ascii="Times New Roman" w:hAnsi="Times New Roman" w:cs="Times New Roman"/>
          <w:bCs/>
          <w:sz w:val="28"/>
          <w:szCs w:val="28"/>
        </w:rPr>
        <w:t>ЕАЭС,  глобализация</w:t>
      </w:r>
      <w:r w:rsidRPr="00FC3637">
        <w:rPr>
          <w:rFonts w:ascii="Times New Roman" w:hAnsi="Times New Roman" w:cs="Times New Roman"/>
          <w:bCs/>
          <w:sz w:val="28"/>
          <w:szCs w:val="28"/>
        </w:rPr>
        <w:t xml:space="preserve"> диктует необходимость формулирования следующих первоочередных традиционных задач обеспечения продовольственной безопасности:</w:t>
      </w:r>
    </w:p>
    <w:p w:rsidR="0037034B" w:rsidRPr="00FF6059" w:rsidRDefault="0037034B" w:rsidP="00D8274A">
      <w:pPr>
        <w:pStyle w:val="a3"/>
        <w:numPr>
          <w:ilvl w:val="0"/>
          <w:numId w:val="1"/>
        </w:numPr>
        <w:ind w:left="1134"/>
        <w:rPr>
          <w:rFonts w:cs="Times New Roman"/>
          <w:bCs/>
          <w:szCs w:val="28"/>
        </w:rPr>
      </w:pPr>
      <w:r w:rsidRPr="00FF6059">
        <w:rPr>
          <w:rFonts w:cs="Times New Roman"/>
          <w:bCs/>
          <w:szCs w:val="28"/>
        </w:rPr>
        <w:t>обеспечение безопасности и качества пищевых продуктов;</w:t>
      </w:r>
    </w:p>
    <w:p w:rsidR="0037034B" w:rsidRPr="00FF6059" w:rsidRDefault="0037034B" w:rsidP="00D8274A">
      <w:pPr>
        <w:pStyle w:val="a3"/>
        <w:numPr>
          <w:ilvl w:val="0"/>
          <w:numId w:val="1"/>
        </w:numPr>
        <w:ind w:left="1134"/>
        <w:rPr>
          <w:rFonts w:cs="Times New Roman"/>
          <w:bCs/>
          <w:szCs w:val="28"/>
        </w:rPr>
      </w:pPr>
      <w:r w:rsidRPr="00FF6059">
        <w:rPr>
          <w:rFonts w:cs="Times New Roman"/>
          <w:bCs/>
          <w:szCs w:val="28"/>
        </w:rPr>
        <w:t>развитие внутреннего аграрного производства основных видов продовольствия, обеспечивающего продовольственную независимость Евразийского экономического союза;</w:t>
      </w:r>
    </w:p>
    <w:p w:rsidR="0037034B" w:rsidRPr="00FF6059" w:rsidRDefault="0037034B" w:rsidP="00D8274A">
      <w:pPr>
        <w:pStyle w:val="a3"/>
        <w:numPr>
          <w:ilvl w:val="0"/>
          <w:numId w:val="1"/>
        </w:numPr>
        <w:ind w:left="1134"/>
        <w:rPr>
          <w:rFonts w:cs="Times New Roman"/>
          <w:bCs/>
          <w:szCs w:val="28"/>
        </w:rPr>
      </w:pPr>
      <w:r w:rsidRPr="00FF6059">
        <w:rPr>
          <w:rFonts w:cs="Times New Roman"/>
          <w:bCs/>
          <w:szCs w:val="28"/>
        </w:rPr>
        <w:t>предотвращение внешних и внутренних угроз продовольственной безопасности, в том числе при стихийных бедствиях и чрезвычайных ситуациях путем формирования стратегических запасов основных  групп продовольствия;</w:t>
      </w:r>
    </w:p>
    <w:p w:rsidR="0037034B" w:rsidRPr="00FF6059" w:rsidRDefault="0037034B" w:rsidP="00D8274A">
      <w:pPr>
        <w:pStyle w:val="a3"/>
        <w:numPr>
          <w:ilvl w:val="0"/>
          <w:numId w:val="1"/>
        </w:numPr>
        <w:ind w:left="1134"/>
        <w:rPr>
          <w:rFonts w:cs="Times New Roman"/>
          <w:bCs/>
          <w:szCs w:val="28"/>
        </w:rPr>
      </w:pPr>
      <w:r w:rsidRPr="00FF6059">
        <w:rPr>
          <w:rFonts w:cs="Times New Roman"/>
          <w:bCs/>
          <w:szCs w:val="28"/>
        </w:rPr>
        <w:t xml:space="preserve">достижение и поддержание физической и экономической доступности продовольствия для граждан государства членов Евразийского экономического союза в ассортименте и объеме соответствующим утверждённым национальным нормам потребления основных пищевых продуктов для активного здорового образа жизни. </w:t>
      </w:r>
    </w:p>
    <w:p w:rsidR="0037034B" w:rsidRPr="00FC3637" w:rsidRDefault="0037034B" w:rsidP="00D8274A">
      <w:pPr>
        <w:spacing w:after="0" w:line="360" w:lineRule="auto"/>
        <w:rPr>
          <w:rFonts w:ascii="Times New Roman" w:hAnsi="Times New Roman" w:cs="Times New Roman"/>
          <w:bCs/>
          <w:sz w:val="28"/>
          <w:szCs w:val="28"/>
        </w:rPr>
      </w:pPr>
      <w:r w:rsidRPr="00FC3637">
        <w:rPr>
          <w:rFonts w:ascii="Times New Roman" w:hAnsi="Times New Roman" w:cs="Times New Roman"/>
          <w:bCs/>
          <w:sz w:val="28"/>
          <w:szCs w:val="28"/>
        </w:rPr>
        <w:t>Новые вызовы межстарновой конкуренции диктуют постоянно формирующиеся нетрадиционные задачи:</w:t>
      </w:r>
    </w:p>
    <w:p w:rsidR="0037034B" w:rsidRPr="00FF6059" w:rsidRDefault="0037034B" w:rsidP="00D8274A">
      <w:pPr>
        <w:pStyle w:val="a3"/>
        <w:numPr>
          <w:ilvl w:val="0"/>
          <w:numId w:val="2"/>
        </w:numPr>
        <w:ind w:left="1134"/>
        <w:rPr>
          <w:rFonts w:cs="Times New Roman"/>
          <w:bCs/>
          <w:szCs w:val="28"/>
        </w:rPr>
      </w:pPr>
      <w:r w:rsidRPr="00FF6059">
        <w:rPr>
          <w:rFonts w:cs="Times New Roman"/>
          <w:bCs/>
          <w:szCs w:val="28"/>
        </w:rPr>
        <w:t>формирование комфорта и качества жизни на территории Евразийского экономического союза, соответствующие самым высоким мировым стандартам, способные формировать конкурентоспособный единый евразийский рынок инновационных трудовых ресурсов;</w:t>
      </w:r>
    </w:p>
    <w:p w:rsidR="0037034B" w:rsidRPr="00FF6059" w:rsidRDefault="0037034B" w:rsidP="00D8274A">
      <w:pPr>
        <w:pStyle w:val="a3"/>
        <w:numPr>
          <w:ilvl w:val="0"/>
          <w:numId w:val="2"/>
        </w:numPr>
        <w:ind w:left="1134"/>
        <w:rPr>
          <w:rFonts w:cs="Times New Roman"/>
          <w:bCs/>
          <w:szCs w:val="28"/>
        </w:rPr>
      </w:pPr>
      <w:r w:rsidRPr="00FF6059">
        <w:rPr>
          <w:rFonts w:cs="Times New Roman"/>
          <w:bCs/>
          <w:szCs w:val="28"/>
        </w:rPr>
        <w:t xml:space="preserve">экспортноориентированность агропромышленного и рыбохозяйственного комплексов всех стран Евразийского экономического союза, как локомотив развития конкурентоспособной экономики и получения дополнительных </w:t>
      </w:r>
      <w:r w:rsidRPr="00FF6059">
        <w:rPr>
          <w:rFonts w:cs="Times New Roman"/>
          <w:bCs/>
          <w:szCs w:val="28"/>
        </w:rPr>
        <w:lastRenderedPageBreak/>
        <w:t>доходов стран сообщества, обеспечивающих высокое качество жизни;</w:t>
      </w:r>
    </w:p>
    <w:p w:rsidR="0037034B" w:rsidRPr="00FF6059" w:rsidRDefault="0037034B" w:rsidP="00D8274A">
      <w:pPr>
        <w:pStyle w:val="a3"/>
        <w:numPr>
          <w:ilvl w:val="0"/>
          <w:numId w:val="2"/>
        </w:numPr>
        <w:ind w:left="1134"/>
        <w:rPr>
          <w:rFonts w:cs="Times New Roman"/>
          <w:bCs/>
          <w:szCs w:val="28"/>
        </w:rPr>
      </w:pPr>
      <w:r w:rsidRPr="00FF6059">
        <w:rPr>
          <w:rFonts w:cs="Times New Roman"/>
          <w:bCs/>
          <w:szCs w:val="28"/>
        </w:rPr>
        <w:t xml:space="preserve">создание товаропроводящей и финансовой инфраструктуры агропромышленного рынка, способной на основе дотации и поддержки со стороны государств Евразийского экономического союза осуществить экспансию продовольствия в другие страны в условиях глобальной межстрановой конкуренции; </w:t>
      </w:r>
    </w:p>
    <w:p w:rsidR="0037034B" w:rsidRPr="00FF6059" w:rsidRDefault="0037034B" w:rsidP="00D8274A">
      <w:pPr>
        <w:pStyle w:val="a3"/>
        <w:numPr>
          <w:ilvl w:val="0"/>
          <w:numId w:val="2"/>
        </w:numPr>
        <w:ind w:left="1134"/>
        <w:rPr>
          <w:rFonts w:cs="Times New Roman"/>
          <w:bCs/>
          <w:szCs w:val="28"/>
        </w:rPr>
      </w:pPr>
      <w:r w:rsidRPr="00FF6059">
        <w:rPr>
          <w:rFonts w:cs="Times New Roman"/>
          <w:bCs/>
          <w:szCs w:val="28"/>
        </w:rPr>
        <w:t>на основе интеграции государств участников Евразийского экономического союза сформировать современный конкурентоспособный кластер производителей сельскохозяйственной техники, способный обеспечивать не только внутренние потребности Евразийского экономического союза, но и осуществлять ее экспорт в другие страны. Стоит отметить, что на сегодняшний день по отдельным видам сельскохозяйственной техники от 50 до 70 процентов парка Евразийского экономического союза превысил нормативный срок эксплуатации;</w:t>
      </w:r>
    </w:p>
    <w:p w:rsidR="0037034B" w:rsidRPr="00FF6059" w:rsidRDefault="0037034B" w:rsidP="00D8274A">
      <w:pPr>
        <w:pStyle w:val="a3"/>
        <w:numPr>
          <w:ilvl w:val="0"/>
          <w:numId w:val="2"/>
        </w:numPr>
        <w:ind w:left="1134"/>
        <w:rPr>
          <w:rFonts w:cs="Times New Roman"/>
          <w:szCs w:val="28"/>
        </w:rPr>
      </w:pPr>
      <w:r w:rsidRPr="00FF6059">
        <w:rPr>
          <w:rFonts w:cs="Times New Roman"/>
          <w:bCs/>
          <w:szCs w:val="28"/>
        </w:rPr>
        <w:t>провести ревизию высокомаржинальных отраслей аграрного бизнеса, которые в настоящее время попадают под контроль иностранных компаний, и выработать комплекс стимулирующих мер для формирования национальных сегментов этих отраслей с обязательным участием государства и евразийского капитала. Эта мера позволит не только обеспечить продовольственную безопасность, но и качественно улучшить ситуацию с пополнением бюджета и оттока инвестиционного капитала за рубеж. Особую озабоченность вызывает табачная, чайная, пивная отрасли, модернизация рыбопромыслового флота и рыбоперерабатывающих производств в Российской Федерации для обеспечения рыбной продукцией государств членов Евразийского экономического союза и экспорта ее в другие страны.</w:t>
      </w:r>
    </w:p>
    <w:p w:rsidR="00886AFC" w:rsidRPr="00886AFC" w:rsidRDefault="00D8274A" w:rsidP="00D8274A">
      <w:pPr>
        <w:spacing w:line="360" w:lineRule="auto"/>
        <w:jc w:val="both"/>
        <w:rPr>
          <w:rFonts w:ascii="Times New Roman" w:hAnsi="Times New Roman" w:cs="Times New Roman"/>
          <w:sz w:val="28"/>
          <w:szCs w:val="28"/>
        </w:rPr>
      </w:pPr>
      <w:r w:rsidRPr="00D8274A">
        <w:rPr>
          <w:rFonts w:ascii="Times New Roman" w:hAnsi="Times New Roman" w:cs="Times New Roman"/>
          <w:sz w:val="28"/>
          <w:szCs w:val="28"/>
        </w:rPr>
        <w:lastRenderedPageBreak/>
        <w:t>Проблемы продовольственной безопасности в настоящее время волнуют все страны мира, так как продовольствие является самым чувствительным фактором социал</w:t>
      </w:r>
      <w:r>
        <w:rPr>
          <w:rFonts w:ascii="Times New Roman" w:hAnsi="Times New Roman" w:cs="Times New Roman"/>
          <w:sz w:val="28"/>
          <w:szCs w:val="28"/>
        </w:rPr>
        <w:t xml:space="preserve">ьного самочувствия населения, а, </w:t>
      </w:r>
      <w:r w:rsidRPr="00D8274A">
        <w:rPr>
          <w:rFonts w:ascii="Times New Roman" w:hAnsi="Times New Roman" w:cs="Times New Roman"/>
          <w:sz w:val="28"/>
          <w:szCs w:val="28"/>
        </w:rPr>
        <w:t>следовательно</w:t>
      </w:r>
      <w:r>
        <w:rPr>
          <w:rFonts w:ascii="Times New Roman" w:hAnsi="Times New Roman" w:cs="Times New Roman"/>
          <w:sz w:val="28"/>
          <w:szCs w:val="28"/>
        </w:rPr>
        <w:t xml:space="preserve">, </w:t>
      </w:r>
      <w:r w:rsidRPr="00D8274A">
        <w:rPr>
          <w:rFonts w:ascii="Times New Roman" w:hAnsi="Times New Roman" w:cs="Times New Roman"/>
          <w:sz w:val="28"/>
          <w:szCs w:val="28"/>
        </w:rPr>
        <w:t xml:space="preserve"> влияет не только на внутриполитическую обстановку в отдельно взятых странах, но и на геополитический мировой климат. В условиях глобализации мы наблюдаем дефицит продовольственных ресурсов, превышение спроса над предложением на продукты питания, рост цен на важнейшие виды продовольствия с одной стороны и политизацию коммерческих сделок, укрепление мировых систем социальной защиты населения с другой стороны.</w:t>
      </w:r>
      <w:r w:rsidRPr="00D8274A">
        <w:rPr>
          <w:rFonts w:ascii="Times New Roman" w:hAnsi="Times New Roman" w:cs="Times New Roman"/>
          <w:sz w:val="28"/>
          <w:szCs w:val="28"/>
        </w:rPr>
        <w:tab/>
      </w:r>
    </w:p>
    <w:sectPr w:rsidR="00886AFC" w:rsidRPr="00886AFC" w:rsidSect="00A05F2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9D5" w:rsidRDefault="000509D5" w:rsidP="00D8274A">
      <w:pPr>
        <w:spacing w:after="0" w:line="240" w:lineRule="auto"/>
      </w:pPr>
      <w:r>
        <w:separator/>
      </w:r>
    </w:p>
  </w:endnote>
  <w:endnote w:type="continuationSeparator" w:id="1">
    <w:p w:rsidR="000509D5" w:rsidRDefault="000509D5" w:rsidP="00D82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D" w:rsidRDefault="006F021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658736"/>
      <w:docPartObj>
        <w:docPartGallery w:val="Page Numbers (Bottom of Page)"/>
        <w:docPartUnique/>
      </w:docPartObj>
    </w:sdtPr>
    <w:sdtContent>
      <w:p w:rsidR="006F021D" w:rsidRDefault="00A05F22">
        <w:pPr>
          <w:pStyle w:val="a6"/>
          <w:jc w:val="center"/>
        </w:pPr>
        <w:r>
          <w:fldChar w:fldCharType="begin"/>
        </w:r>
        <w:r w:rsidR="006F021D">
          <w:instrText>PAGE   \* MERGEFORMAT</w:instrText>
        </w:r>
        <w:r>
          <w:fldChar w:fldCharType="separate"/>
        </w:r>
        <w:r w:rsidR="005405C4">
          <w:rPr>
            <w:noProof/>
          </w:rPr>
          <w:t>1</w:t>
        </w:r>
        <w:r>
          <w:fldChar w:fldCharType="end"/>
        </w:r>
      </w:p>
    </w:sdtContent>
  </w:sdt>
  <w:p w:rsidR="00D8274A" w:rsidRDefault="00D8274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D" w:rsidRDefault="006F02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9D5" w:rsidRDefault="000509D5" w:rsidP="00D8274A">
      <w:pPr>
        <w:spacing w:after="0" w:line="240" w:lineRule="auto"/>
      </w:pPr>
      <w:r>
        <w:separator/>
      </w:r>
    </w:p>
  </w:footnote>
  <w:footnote w:type="continuationSeparator" w:id="1">
    <w:p w:rsidR="000509D5" w:rsidRDefault="000509D5" w:rsidP="00D82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D" w:rsidRDefault="006F021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D" w:rsidRDefault="006F021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1D" w:rsidRDefault="006F02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A2C"/>
    <w:multiLevelType w:val="hybridMultilevel"/>
    <w:tmpl w:val="F2E8665A"/>
    <w:lvl w:ilvl="0" w:tplc="12DAB2D4">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C1D555A"/>
    <w:multiLevelType w:val="hybridMultilevel"/>
    <w:tmpl w:val="31BA08AE"/>
    <w:lvl w:ilvl="0" w:tplc="12DAB2D4">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30FB"/>
    <w:rsid w:val="000509D5"/>
    <w:rsid w:val="000D1E09"/>
    <w:rsid w:val="001E64B0"/>
    <w:rsid w:val="00266641"/>
    <w:rsid w:val="0037034B"/>
    <w:rsid w:val="004E18B8"/>
    <w:rsid w:val="005405C4"/>
    <w:rsid w:val="00585DA3"/>
    <w:rsid w:val="006E2F35"/>
    <w:rsid w:val="006F021D"/>
    <w:rsid w:val="0074629B"/>
    <w:rsid w:val="007878CC"/>
    <w:rsid w:val="00886AFC"/>
    <w:rsid w:val="008E1707"/>
    <w:rsid w:val="00901245"/>
    <w:rsid w:val="009C01A1"/>
    <w:rsid w:val="00A05F22"/>
    <w:rsid w:val="00AF02D1"/>
    <w:rsid w:val="00C230FB"/>
    <w:rsid w:val="00D80D93"/>
    <w:rsid w:val="00D8274A"/>
    <w:rsid w:val="00E47629"/>
    <w:rsid w:val="00E47BFB"/>
    <w:rsid w:val="00EC0E5C"/>
    <w:rsid w:val="00F06AE9"/>
    <w:rsid w:val="00FC3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FB"/>
  </w:style>
  <w:style w:type="paragraph" w:styleId="1">
    <w:name w:val="heading 1"/>
    <w:basedOn w:val="a"/>
    <w:link w:val="10"/>
    <w:uiPriority w:val="9"/>
    <w:qFormat/>
    <w:rsid w:val="00370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4B"/>
    <w:pPr>
      <w:spacing w:after="0" w:line="360" w:lineRule="auto"/>
      <w:ind w:left="720" w:firstLine="851"/>
      <w:contextualSpacing/>
      <w:jc w:val="both"/>
    </w:pPr>
    <w:rPr>
      <w:rFonts w:ascii="Times New Roman" w:hAnsi="Times New Roman"/>
      <w:sz w:val="28"/>
    </w:rPr>
  </w:style>
  <w:style w:type="character" w:customStyle="1" w:styleId="10">
    <w:name w:val="Заголовок 1 Знак"/>
    <w:basedOn w:val="a0"/>
    <w:link w:val="1"/>
    <w:uiPriority w:val="9"/>
    <w:rsid w:val="0037034B"/>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D827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274A"/>
  </w:style>
  <w:style w:type="paragraph" w:styleId="a6">
    <w:name w:val="footer"/>
    <w:basedOn w:val="a"/>
    <w:link w:val="a7"/>
    <w:uiPriority w:val="99"/>
    <w:unhideWhenUsed/>
    <w:rsid w:val="00D827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2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FB"/>
  </w:style>
  <w:style w:type="paragraph" w:styleId="1">
    <w:name w:val="heading 1"/>
    <w:basedOn w:val="a"/>
    <w:link w:val="10"/>
    <w:uiPriority w:val="9"/>
    <w:qFormat/>
    <w:rsid w:val="00370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4B"/>
    <w:pPr>
      <w:spacing w:after="0" w:line="360" w:lineRule="auto"/>
      <w:ind w:left="720" w:firstLine="851"/>
      <w:contextualSpacing/>
      <w:jc w:val="both"/>
    </w:pPr>
    <w:rPr>
      <w:rFonts w:ascii="Times New Roman" w:hAnsi="Times New Roman"/>
      <w:sz w:val="28"/>
    </w:rPr>
  </w:style>
  <w:style w:type="character" w:customStyle="1" w:styleId="10">
    <w:name w:val="Заголовок 1 Знак"/>
    <w:basedOn w:val="a0"/>
    <w:link w:val="1"/>
    <w:uiPriority w:val="9"/>
    <w:rsid w:val="0037034B"/>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D827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274A"/>
  </w:style>
  <w:style w:type="paragraph" w:styleId="a6">
    <w:name w:val="footer"/>
    <w:basedOn w:val="a"/>
    <w:link w:val="a7"/>
    <w:uiPriority w:val="99"/>
    <w:unhideWhenUsed/>
    <w:rsid w:val="00D827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27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6E00-BFEC-4E20-B656-AC841D63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2017-08-16T07:53:00Z</cp:lastPrinted>
  <dcterms:created xsi:type="dcterms:W3CDTF">2017-09-25T10:01:00Z</dcterms:created>
  <dcterms:modified xsi:type="dcterms:W3CDTF">2017-09-26T10:37:00Z</dcterms:modified>
</cp:coreProperties>
</file>