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971" w:rsidRDefault="00ED17DD" w:rsidP="00ED17DD">
      <w:pPr>
        <w:jc w:val="right"/>
        <w:rPr>
          <w:rFonts w:ascii="Times New Roman" w:hAnsi="Times New Roman" w:cs="Times New Roman"/>
          <w:sz w:val="28"/>
          <w:szCs w:val="28"/>
        </w:rPr>
      </w:pPr>
      <w:r w:rsidRPr="00ED17DD">
        <w:rPr>
          <w:rFonts w:ascii="Times New Roman" w:hAnsi="Times New Roman" w:cs="Times New Roman"/>
          <w:sz w:val="28"/>
          <w:szCs w:val="28"/>
        </w:rPr>
        <w:t>Фадеева Л</w:t>
      </w:r>
      <w:r w:rsidR="00DF06EE">
        <w:rPr>
          <w:rFonts w:ascii="Times New Roman" w:hAnsi="Times New Roman" w:cs="Times New Roman"/>
          <w:sz w:val="28"/>
          <w:szCs w:val="28"/>
        </w:rPr>
        <w:t>юбовь Александровна,</w:t>
      </w:r>
    </w:p>
    <w:p w:rsidR="00DF06EE" w:rsidRDefault="00DF06EE" w:rsidP="00ED17D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д.и.н., профессор,</w:t>
      </w:r>
    </w:p>
    <w:p w:rsidR="00DF06EE" w:rsidRDefault="00DF06EE" w:rsidP="00ED17DD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зав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афедрой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политических наук</w:t>
      </w:r>
    </w:p>
    <w:p w:rsidR="00DF06EE" w:rsidRDefault="00DF06EE" w:rsidP="00ED17D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Пермского государственного национального </w:t>
      </w:r>
    </w:p>
    <w:p w:rsidR="00DF06EE" w:rsidRDefault="00DF06EE" w:rsidP="00ED17D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исследовательского университета</w:t>
      </w:r>
    </w:p>
    <w:p w:rsidR="00DF06EE" w:rsidRPr="00DF06EE" w:rsidRDefault="00DF06EE" w:rsidP="00ED17DD">
      <w:pPr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e-mail: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en-US"/>
        </w:rPr>
        <w:t>lafadeeva2007@yandex.ru</w:t>
      </w:r>
    </w:p>
    <w:p w:rsidR="00ED17DD" w:rsidRPr="00ED17DD" w:rsidRDefault="00ED17DD" w:rsidP="00ED17DD">
      <w:pPr>
        <w:jc w:val="both"/>
        <w:rPr>
          <w:rFonts w:ascii="Times New Roman" w:hAnsi="Times New Roman" w:cs="Times New Roman"/>
          <w:sz w:val="28"/>
          <w:szCs w:val="28"/>
        </w:rPr>
      </w:pPr>
      <w:r w:rsidRPr="00ED17DD">
        <w:rPr>
          <w:rFonts w:ascii="Times New Roman" w:hAnsi="Times New Roman" w:cs="Times New Roman"/>
          <w:sz w:val="28"/>
          <w:szCs w:val="28"/>
        </w:rPr>
        <w:t xml:space="preserve">Политика ЕС в отношении </w:t>
      </w:r>
      <w:proofErr w:type="spellStart"/>
      <w:r w:rsidRPr="00ED17DD">
        <w:rPr>
          <w:rFonts w:ascii="Times New Roman" w:hAnsi="Times New Roman" w:cs="Times New Roman"/>
          <w:sz w:val="28"/>
          <w:szCs w:val="28"/>
        </w:rPr>
        <w:t>этнорегиональных</w:t>
      </w:r>
      <w:proofErr w:type="spellEnd"/>
      <w:r w:rsidRPr="00ED17DD">
        <w:rPr>
          <w:rFonts w:ascii="Times New Roman" w:hAnsi="Times New Roman" w:cs="Times New Roman"/>
          <w:sz w:val="28"/>
          <w:szCs w:val="28"/>
        </w:rPr>
        <w:t xml:space="preserve"> автономий: эффекты «мягкой империи»?</w:t>
      </w:r>
    </w:p>
    <w:p w:rsidR="00ED17DD" w:rsidRDefault="00ED17DD" w:rsidP="00ED17DD">
      <w:pPr>
        <w:jc w:val="both"/>
      </w:pPr>
    </w:p>
    <w:p w:rsidR="00565346" w:rsidRDefault="00565346" w:rsidP="00ED17DD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Дебаты о Европейском союзе как новой форме империи ведутся с начала 2000-х годов.</w:t>
      </w:r>
      <w:r>
        <w:rPr>
          <w:rStyle w:val="a5"/>
          <w:rFonts w:ascii="Times New Roman" w:eastAsiaTheme="minorEastAsia" w:hAnsi="Times New Roman" w:cs="Times New Roman"/>
          <w:sz w:val="28"/>
          <w:szCs w:val="28"/>
          <w:lang w:eastAsia="ru-RU"/>
        </w:rPr>
        <w:footnoteReference w:id="1"/>
      </w:r>
      <w:r w:rsidRPr="0056534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Одни исследователи, исходя из нормативного подхода, категорически отрицают имперские черты ЕС, считая это политическое объединение диаметрально противоположным империи. Другие либо используют смягчающие прилагательные к понятию «империя», либо призывают отказаться от нормативного подхода и рационально подходить к оценке политики ЕС, как в области международных отношений, так и по отношению к странам-членам ЕС. Например, восточноевропейские исследователи считают возможным говорить об имперском характере ЕС применительно к их странам на основании стремления Евросоюза распространить на новых членов культурный код, присущий «старой Европе». </w:t>
      </w:r>
    </w:p>
    <w:p w:rsidR="00565346" w:rsidRPr="00565346" w:rsidRDefault="00565346" w:rsidP="00ED17DD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Представляется, что есть резоны рассмотреть, не проявляются ли эффекты «мягкого империализма» ЕС в отношении таких его частей, как регионы, получившие автономию на этнических основаниях, то есть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этнорегиональных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автономий. </w:t>
      </w:r>
    </w:p>
    <w:p w:rsidR="00ED17DD" w:rsidRDefault="00ED17DD" w:rsidP="00ED17DD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Как известно, п</w:t>
      </w:r>
      <w:r w:rsidRPr="00ED17D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роцессы европейской регионализации дали регионам новые возможности для выработки стратегии и формирования сетевого политического взаимодействия с другими регионами. Этому способствовали несколько моментов: определение прав меньшинств в законодательстве ЕС и СЕ, например, </w:t>
      </w:r>
      <w:r w:rsidRPr="00ED17D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Рамочная конвенция СЕ о защите национальных меньшинств</w:t>
      </w:r>
      <w:r w:rsidRPr="00ED17DD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подписанная 1 февраля 1995 г., усиление регионального уровня данного наднационального образования, позитивная оценка автономий в резолюциях Парламентской Ассамблеи СЕ, в частности, в резолюции 1334 2003 года</w:t>
      </w:r>
      <w:r w:rsidRPr="00ED17DD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  <w:r w:rsidRPr="00ED17D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«</w:t>
      </w:r>
      <w:r w:rsidRPr="00ED17D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О позитивном опыте автономных регионов как источнике вдохновения для урегулирования конфликтов в Европе». </w:t>
      </w:r>
    </w:p>
    <w:p w:rsidR="00ED17DD" w:rsidRDefault="00ED17DD" w:rsidP="00ED17D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17D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lastRenderedPageBreak/>
        <w:t xml:space="preserve">В резолюции говорится: </w:t>
      </w:r>
      <w:r w:rsidRPr="00ED17DD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«Государства должны противодействовать обострению напряженности путем принятия гибких конституционных или законодательных норм, отвечающих ожиданиям этих общин. Наделение меньшинств собственными полномочиями, которые либо делегируются центральными органами власти, либо применяются совместно с ними, иногда позволяет государству примирить принцип территориального единства и целостности с принципом культурного разнообразия».</w:t>
      </w:r>
      <w:r w:rsidRPr="00ED17DD">
        <w:rPr>
          <w:rFonts w:ascii="Times New Roman" w:eastAsiaTheme="minorEastAsia" w:hAnsi="Times New Roman" w:cs="Times New Roman"/>
          <w:color w:val="000000"/>
          <w:sz w:val="28"/>
          <w:szCs w:val="28"/>
          <w:vertAlign w:val="superscript"/>
          <w:lang w:eastAsia="ru-RU"/>
        </w:rPr>
        <w:footnoteReference w:id="2"/>
      </w:r>
      <w:r w:rsidRPr="00ED17DD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 Авторы резолюции сочли необходимым указать, что «</w:t>
      </w:r>
      <w:r w:rsidRPr="00ED1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автономия – это понятие, которое может вызывать и негативную реакцию...  может рассматриваться как угроза территориальной целостности государства». </w:t>
      </w:r>
    </w:p>
    <w:p w:rsidR="00ED17DD" w:rsidRDefault="00ED17DD" w:rsidP="00ED17DD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ED1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Ключевой тезис документа, что в современном государстве автономия «должна, скорее, рассматриваться как «внутригосударственное образование», позволяющее меньшинству пользоваться своими правами и сохранять свою культурную самобытность и при этом обеспечивающее определенные гарантии единства, суверенитета и территориальной целостности государства». В резолюции используется понятие баланса, под каковым подразумеваются </w:t>
      </w:r>
      <w:r w:rsidRPr="00ED17DD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сбалансированные отношения «внутри государства между большинством и меньшинством, а также между меньшинствами. Автономный статус всегда должен строиться на основе уважения принципов равноправия и </w:t>
      </w:r>
      <w:proofErr w:type="spellStart"/>
      <w:r w:rsidRPr="00ED17DD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недискриминации</w:t>
      </w:r>
      <w:proofErr w:type="spellEnd"/>
      <w:r w:rsidRPr="00ED17DD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». Достижение такого баланса является фактором и показателем успеха автономии.</w:t>
      </w:r>
      <w:r w:rsidRPr="00ED17DD">
        <w:rPr>
          <w:rFonts w:ascii="Times New Roman" w:eastAsiaTheme="minorEastAsia" w:hAnsi="Times New Roman" w:cs="Times New Roman"/>
          <w:color w:val="000000"/>
          <w:sz w:val="28"/>
          <w:szCs w:val="28"/>
          <w:vertAlign w:val="superscript"/>
          <w:lang w:eastAsia="ru-RU"/>
        </w:rPr>
        <w:footnoteReference w:id="3"/>
      </w:r>
      <w:r w:rsidRPr="00ED17DD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:rsidR="00ED17DD" w:rsidRPr="00537082" w:rsidRDefault="00ED17DD" w:rsidP="00ED17DD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eastAsia="Calibri" w:hAnsi="Times New Roman" w:cs="Times New Roman"/>
          <w:color w:val="00000A"/>
          <w:sz w:val="28"/>
          <w:szCs w:val="28"/>
          <w:lang w:eastAsia="zh-CN"/>
        </w:rPr>
      </w:pPr>
      <w:r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Такая позиция соотносится со стандартами мирового сообщества, определенными, например, </w:t>
      </w:r>
      <w:r w:rsidRPr="00537082">
        <w:rPr>
          <w:rFonts w:ascii="Times New Roman" w:eastAsia="Calibri" w:hAnsi="Times New Roman" w:cs="Times New Roman"/>
          <w:color w:val="00000A"/>
          <w:sz w:val="28"/>
          <w:szCs w:val="28"/>
          <w:lang w:eastAsia="zh-CN"/>
        </w:rPr>
        <w:t>в принятом ООН «Международном пакте о гражданских и политических правах» были выделены «этнические, религиозные и языковые меньшинства»</w:t>
      </w:r>
      <w:r w:rsidRPr="00537082">
        <w:rPr>
          <w:rFonts w:ascii="Times New Roman" w:eastAsia="Calibri" w:hAnsi="Times New Roman" w:cs="Times New Roman"/>
          <w:color w:val="00000A"/>
          <w:sz w:val="28"/>
          <w:szCs w:val="28"/>
          <w:vertAlign w:val="superscript"/>
          <w:lang w:eastAsia="zh-CN"/>
        </w:rPr>
        <w:footnoteReference w:id="4"/>
      </w:r>
      <w:r w:rsidRPr="00537082">
        <w:rPr>
          <w:rFonts w:ascii="Times New Roman" w:eastAsia="Calibri" w:hAnsi="Times New Roman" w:cs="Times New Roman"/>
          <w:color w:val="00000A"/>
          <w:sz w:val="28"/>
          <w:szCs w:val="28"/>
          <w:lang w:eastAsia="zh-CN"/>
        </w:rPr>
        <w:t xml:space="preserve"> (статья 27), наделяемые правом на самоидентификацию и сохранение специфических черт (культуры, языка, обрядов).</w:t>
      </w:r>
    </w:p>
    <w:p w:rsidR="00ED17DD" w:rsidRDefault="00ED17DD" w:rsidP="00ED17D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Эти принципы применительно к ЕС не остались лишь декларациями: к</w:t>
      </w:r>
      <w:r w:rsidRPr="00537082">
        <w:rPr>
          <w:rFonts w:ascii="Times New Roman" w:hAnsi="Times New Roman" w:cs="Times New Roman"/>
          <w:sz w:val="28"/>
          <w:szCs w:val="28"/>
        </w:rPr>
        <w:t>ак утверждают аналитики европейской интеграции, в период между 1980 и 2001 годами никто из членов ЕС не стал более централизованным государством, в то время как многие из них сделали шаги к дальнейшей децентрализации.</w:t>
      </w:r>
    </w:p>
    <w:p w:rsidR="00ED17DD" w:rsidRPr="00537082" w:rsidRDefault="00ED17DD" w:rsidP="00ED17D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37082">
        <w:rPr>
          <w:rFonts w:ascii="Times New Roman" w:hAnsi="Times New Roman" w:cs="Times New Roman"/>
          <w:sz w:val="28"/>
          <w:szCs w:val="28"/>
        </w:rPr>
        <w:t xml:space="preserve">Одновременно, наднациональные институты Европейского союза должны были искать варианты решений и создавать новые институциональные рамки для предотвращения конфликтов. Один из самых авторитетных специалистов по процессам регионализации </w:t>
      </w:r>
      <w:r w:rsidRPr="00537082">
        <w:rPr>
          <w:rFonts w:ascii="Times New Roman" w:hAnsi="Times New Roman" w:cs="Times New Roman"/>
          <w:color w:val="000000"/>
          <w:sz w:val="28"/>
          <w:szCs w:val="28"/>
        </w:rPr>
        <w:t xml:space="preserve">Майкл </w:t>
      </w:r>
      <w:proofErr w:type="spellStart"/>
      <w:r w:rsidRPr="00537082">
        <w:rPr>
          <w:rFonts w:ascii="Times New Roman" w:hAnsi="Times New Roman" w:cs="Times New Roman"/>
          <w:color w:val="000000"/>
          <w:sz w:val="28"/>
          <w:szCs w:val="28"/>
        </w:rPr>
        <w:t>Китинг</w:t>
      </w:r>
      <w:proofErr w:type="spellEnd"/>
      <w:r w:rsidRPr="00537082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537082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писал о том, что «европейская система обеспечила систему внешней поддержки независимости», за которую выступали многие национальные политические партии и этнические общности. Он отмечал, что такое обеспечение никоим образом не связано с европейским законодательством, где нет ничего о праве на сецессию.  Однако, «независимость внутри Европы могла презентовать ослабленную и менее рискованную форму независимости». </w:t>
      </w:r>
      <w:proofErr w:type="spellStart"/>
      <w:r w:rsidRPr="00537082">
        <w:rPr>
          <w:rFonts w:ascii="Times New Roman" w:hAnsi="Times New Roman" w:cs="Times New Roman"/>
          <w:color w:val="000000"/>
          <w:sz w:val="28"/>
          <w:szCs w:val="28"/>
        </w:rPr>
        <w:t>Китинг</w:t>
      </w:r>
      <w:proofErr w:type="spellEnd"/>
      <w:r w:rsidRPr="00537082">
        <w:rPr>
          <w:rFonts w:ascii="Times New Roman" w:hAnsi="Times New Roman" w:cs="Times New Roman"/>
          <w:color w:val="000000"/>
          <w:sz w:val="28"/>
          <w:szCs w:val="28"/>
        </w:rPr>
        <w:t xml:space="preserve"> обращает внимание, что опасаясь демонстрировать </w:t>
      </w:r>
      <w:proofErr w:type="spellStart"/>
      <w:r w:rsidRPr="00537082">
        <w:rPr>
          <w:rFonts w:ascii="Times New Roman" w:hAnsi="Times New Roman" w:cs="Times New Roman"/>
          <w:color w:val="000000"/>
          <w:sz w:val="28"/>
          <w:szCs w:val="28"/>
        </w:rPr>
        <w:t>сецессионистские</w:t>
      </w:r>
      <w:proofErr w:type="spellEnd"/>
      <w:r w:rsidRPr="00537082">
        <w:rPr>
          <w:rFonts w:ascii="Times New Roman" w:hAnsi="Times New Roman" w:cs="Times New Roman"/>
          <w:color w:val="000000"/>
          <w:sz w:val="28"/>
          <w:szCs w:val="28"/>
        </w:rPr>
        <w:t xml:space="preserve"> притязания, многие политические силы, представляющие этнические меньшинства, особенно в Восточной Европе, предпочитали делать акцент на своем европейском характере, европейской миссии, согласно которой Европа будет представлена «естественными» регионами, отражающими их идентичность и культуру.</w:t>
      </w:r>
      <w:r w:rsidRPr="00537082">
        <w:rPr>
          <w:rStyle w:val="a5"/>
          <w:rFonts w:ascii="Times New Roman" w:hAnsi="Times New Roman" w:cs="Times New Roman"/>
          <w:color w:val="000000"/>
          <w:sz w:val="28"/>
          <w:szCs w:val="28"/>
        </w:rPr>
        <w:footnoteReference w:id="5"/>
      </w:r>
    </w:p>
    <w:p w:rsidR="003C0FDD" w:rsidRDefault="00ED17DD" w:rsidP="001849F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37082">
        <w:rPr>
          <w:rFonts w:ascii="Times New Roman" w:hAnsi="Times New Roman" w:cs="Times New Roman"/>
          <w:color w:val="000000"/>
          <w:sz w:val="28"/>
          <w:szCs w:val="28"/>
        </w:rPr>
        <w:tab/>
      </w:r>
      <w:proofErr w:type="spellStart"/>
      <w:r w:rsidRPr="00537082">
        <w:rPr>
          <w:rFonts w:ascii="Times New Roman" w:hAnsi="Times New Roman" w:cs="Times New Roman"/>
          <w:color w:val="000000"/>
          <w:sz w:val="28"/>
          <w:szCs w:val="28"/>
        </w:rPr>
        <w:t>Китинг</w:t>
      </w:r>
      <w:proofErr w:type="spellEnd"/>
      <w:r w:rsidRPr="00537082">
        <w:rPr>
          <w:rFonts w:ascii="Times New Roman" w:hAnsi="Times New Roman" w:cs="Times New Roman"/>
          <w:color w:val="000000"/>
          <w:sz w:val="28"/>
          <w:szCs w:val="28"/>
        </w:rPr>
        <w:t xml:space="preserve"> находил некоторое противоречие в том, что Европейский союз, с одной стороны, расширял возможности негосударственных </w:t>
      </w:r>
      <w:proofErr w:type="spellStart"/>
      <w:r w:rsidRPr="00537082">
        <w:rPr>
          <w:rFonts w:ascii="Times New Roman" w:hAnsi="Times New Roman" w:cs="Times New Roman"/>
          <w:color w:val="000000"/>
          <w:sz w:val="28"/>
          <w:szCs w:val="28"/>
        </w:rPr>
        <w:t>акторов</w:t>
      </w:r>
      <w:proofErr w:type="spellEnd"/>
      <w:r w:rsidRPr="00537082">
        <w:rPr>
          <w:rFonts w:ascii="Times New Roman" w:hAnsi="Times New Roman" w:cs="Times New Roman"/>
          <w:color w:val="000000"/>
          <w:sz w:val="28"/>
          <w:szCs w:val="28"/>
        </w:rPr>
        <w:t xml:space="preserve"> быть более активными и значимыми, с другой стороны, не обеспечивал должных институциональных возможностей. Он негативно оценил жесткую критику со стороны руководства ЕС идеи «регионального государства», «фрагмента государства», «неполного государства», с которыми выступали политические элиты ряда регионов. Нежелание европейских субнациональных элит понимать проблемы претензий европейских регионов на автономию, на его взгляд, формировало «несоответствие, которое в прошлом уже неоднократно становилось причиной конфликтов».</w:t>
      </w:r>
      <w:r w:rsidRPr="00537082">
        <w:rPr>
          <w:rStyle w:val="a5"/>
          <w:rFonts w:ascii="Times New Roman" w:hAnsi="Times New Roman" w:cs="Times New Roman"/>
          <w:color w:val="000000"/>
          <w:sz w:val="28"/>
          <w:szCs w:val="28"/>
        </w:rPr>
        <w:footnoteReference w:id="6"/>
      </w:r>
      <w:r w:rsidRPr="00ED17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Проблематика ЭРА,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сецессионизма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 партийных позиций в контексте политики ЕС вызывает интерес и других исследователей.</w:t>
      </w:r>
      <w:r>
        <w:rPr>
          <w:rStyle w:val="a5"/>
          <w:rFonts w:ascii="Times New Roman" w:hAnsi="Times New Roman" w:cs="Times New Roman"/>
          <w:color w:val="000000"/>
          <w:sz w:val="28"/>
          <w:szCs w:val="28"/>
        </w:rPr>
        <w:footnoteReference w:id="7"/>
      </w:r>
      <w:r w:rsidR="001849F8" w:rsidRPr="001849F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849F8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1849F8" w:rsidRPr="00537082">
        <w:rPr>
          <w:rFonts w:ascii="Times New Roman" w:hAnsi="Times New Roman" w:cs="Times New Roman"/>
          <w:color w:val="000000"/>
          <w:sz w:val="28"/>
          <w:szCs w:val="28"/>
        </w:rPr>
        <w:t>овременная ситуация подтверждает правомерность сомнений</w:t>
      </w:r>
      <w:r w:rsidR="001849F8">
        <w:rPr>
          <w:rFonts w:ascii="Times New Roman" w:hAnsi="Times New Roman" w:cs="Times New Roman"/>
          <w:color w:val="000000"/>
          <w:sz w:val="28"/>
          <w:szCs w:val="28"/>
        </w:rPr>
        <w:t xml:space="preserve"> в последовательности и эффективности политики ЕС в отношении </w:t>
      </w:r>
      <w:proofErr w:type="spellStart"/>
      <w:r w:rsidR="001849F8">
        <w:rPr>
          <w:rFonts w:ascii="Times New Roman" w:hAnsi="Times New Roman" w:cs="Times New Roman"/>
          <w:color w:val="000000"/>
          <w:sz w:val="28"/>
          <w:szCs w:val="28"/>
        </w:rPr>
        <w:t>этнорегиональных</w:t>
      </w:r>
      <w:proofErr w:type="spellEnd"/>
      <w:r w:rsidR="001849F8">
        <w:rPr>
          <w:rFonts w:ascii="Times New Roman" w:hAnsi="Times New Roman" w:cs="Times New Roman"/>
          <w:color w:val="000000"/>
          <w:sz w:val="28"/>
          <w:szCs w:val="28"/>
        </w:rPr>
        <w:t xml:space="preserve"> автономий</w:t>
      </w:r>
      <w:r w:rsidR="001849F8" w:rsidRPr="00537082">
        <w:rPr>
          <w:rFonts w:ascii="Times New Roman" w:hAnsi="Times New Roman" w:cs="Times New Roman"/>
          <w:color w:val="000000"/>
          <w:sz w:val="28"/>
          <w:szCs w:val="28"/>
        </w:rPr>
        <w:t>. Конфликты формируются</w:t>
      </w:r>
      <w:r w:rsidR="001849F8">
        <w:rPr>
          <w:rFonts w:ascii="Times New Roman" w:hAnsi="Times New Roman" w:cs="Times New Roman"/>
          <w:color w:val="000000"/>
          <w:sz w:val="28"/>
          <w:szCs w:val="28"/>
        </w:rPr>
        <w:t xml:space="preserve">, прежде всего, </w:t>
      </w:r>
      <w:r w:rsidR="001849F8" w:rsidRPr="00537082">
        <w:rPr>
          <w:rFonts w:ascii="Times New Roman" w:hAnsi="Times New Roman" w:cs="Times New Roman"/>
          <w:color w:val="000000"/>
          <w:sz w:val="28"/>
          <w:szCs w:val="28"/>
        </w:rPr>
        <w:t>между центром и автономией</w:t>
      </w:r>
      <w:r w:rsidR="001849F8">
        <w:rPr>
          <w:rFonts w:ascii="Times New Roman" w:hAnsi="Times New Roman" w:cs="Times New Roman"/>
          <w:color w:val="000000"/>
          <w:sz w:val="28"/>
          <w:szCs w:val="28"/>
        </w:rPr>
        <w:t>: легитимный референдум 2014 г. в Шотландии; не признанн</w:t>
      </w:r>
      <w:r w:rsidR="003C0FDD">
        <w:rPr>
          <w:rFonts w:ascii="Times New Roman" w:hAnsi="Times New Roman" w:cs="Times New Roman"/>
          <w:color w:val="000000"/>
          <w:sz w:val="28"/>
          <w:szCs w:val="28"/>
        </w:rPr>
        <w:t>ое</w:t>
      </w:r>
      <w:r w:rsidR="001849F8">
        <w:rPr>
          <w:rFonts w:ascii="Times New Roman" w:hAnsi="Times New Roman" w:cs="Times New Roman"/>
          <w:color w:val="000000"/>
          <w:sz w:val="28"/>
          <w:szCs w:val="28"/>
        </w:rPr>
        <w:t xml:space="preserve"> центром </w:t>
      </w:r>
      <w:r w:rsidR="003C0FDD">
        <w:rPr>
          <w:rFonts w:ascii="Times New Roman" w:hAnsi="Times New Roman" w:cs="Times New Roman"/>
          <w:color w:val="000000"/>
          <w:sz w:val="28"/>
          <w:szCs w:val="28"/>
        </w:rPr>
        <w:t xml:space="preserve">решение </w:t>
      </w:r>
      <w:r w:rsidR="001849F8" w:rsidRPr="00537082">
        <w:rPr>
          <w:rFonts w:ascii="Times New Roman" w:hAnsi="Times New Roman" w:cs="Times New Roman"/>
          <w:color w:val="000000"/>
          <w:sz w:val="28"/>
          <w:szCs w:val="28"/>
        </w:rPr>
        <w:t>каталонск</w:t>
      </w:r>
      <w:r w:rsidR="003C0FDD">
        <w:rPr>
          <w:rFonts w:ascii="Times New Roman" w:hAnsi="Times New Roman" w:cs="Times New Roman"/>
          <w:color w:val="000000"/>
          <w:sz w:val="28"/>
          <w:szCs w:val="28"/>
        </w:rPr>
        <w:t>ого правительства о независимости региона</w:t>
      </w:r>
      <w:r w:rsidR="001849F8">
        <w:rPr>
          <w:rFonts w:ascii="Times New Roman" w:hAnsi="Times New Roman" w:cs="Times New Roman"/>
          <w:color w:val="000000"/>
          <w:sz w:val="28"/>
          <w:szCs w:val="28"/>
        </w:rPr>
        <w:t xml:space="preserve">. Позиция Европейского союза в обоих случаях оказывается на стороне центра, а не </w:t>
      </w:r>
      <w:proofErr w:type="spellStart"/>
      <w:r w:rsidR="001849F8">
        <w:rPr>
          <w:rFonts w:ascii="Times New Roman" w:hAnsi="Times New Roman" w:cs="Times New Roman"/>
          <w:color w:val="000000"/>
          <w:sz w:val="28"/>
          <w:szCs w:val="28"/>
        </w:rPr>
        <w:t>этнорегиональных</w:t>
      </w:r>
      <w:proofErr w:type="spellEnd"/>
      <w:r w:rsidR="001849F8">
        <w:rPr>
          <w:rFonts w:ascii="Times New Roman" w:hAnsi="Times New Roman" w:cs="Times New Roman"/>
          <w:color w:val="000000"/>
          <w:sz w:val="28"/>
          <w:szCs w:val="28"/>
        </w:rPr>
        <w:t xml:space="preserve"> автономий. </w:t>
      </w:r>
    </w:p>
    <w:p w:rsidR="00ED17DD" w:rsidRDefault="008D0481" w:rsidP="001849F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И в 2014 г. в преддверии референдума о независимости Шотландии, и в 2017 г., когда шотландский парламент проголосовал за повторный референдум в условиях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брекзита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официальные представители ЕС предупреждают шотландцев, прежде всего, политиков, что шотландцам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нужно будет «встать в общую очередь государств, желающих вступить в ЕС. И это несмотря на то, что 62% шотландцев высказались в условиях общенационального референдума за то, чтобы остаться в составе ЕС. </w:t>
      </w:r>
    </w:p>
    <w:p w:rsidR="00DA66B3" w:rsidRPr="00B04723" w:rsidRDefault="003B6CB7" w:rsidP="003D34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04723">
        <w:rPr>
          <w:rFonts w:ascii="Times New Roman" w:hAnsi="Times New Roman" w:cs="Times New Roman"/>
          <w:bCs/>
          <w:sz w:val="28"/>
          <w:szCs w:val="28"/>
          <w:shd w:val="clear" w:color="auto" w:fill="EDEDED"/>
        </w:rPr>
        <w:t>Аналогичной позиции ЕС придерживается и в каталонском вопросе.</w:t>
      </w:r>
      <w:r w:rsidR="00DA66B3" w:rsidRPr="00B04723">
        <w:rPr>
          <w:rFonts w:ascii="Times New Roman" w:hAnsi="Times New Roman" w:cs="Times New Roman"/>
          <w:sz w:val="28"/>
          <w:szCs w:val="28"/>
          <w:shd w:val="clear" w:color="auto" w:fill="F3F3F3"/>
        </w:rPr>
        <w:t xml:space="preserve"> Еще в 2012 г. каталонские власти призвали руководство Евросоюза предоставить им «дорожную карту» по выходу из Испании и вступлению прямо в ЕС. </w:t>
      </w:r>
      <w:r w:rsidRPr="00B04723">
        <w:rPr>
          <w:rFonts w:ascii="Times New Roman" w:hAnsi="Times New Roman" w:cs="Times New Roman"/>
          <w:bCs/>
          <w:sz w:val="28"/>
          <w:szCs w:val="28"/>
          <w:shd w:val="clear" w:color="auto" w:fill="EDEDED"/>
        </w:rPr>
        <w:t xml:space="preserve"> </w:t>
      </w:r>
      <w:r w:rsidR="00B04723" w:rsidRPr="00B04723">
        <w:rPr>
          <w:rFonts w:ascii="Times New Roman" w:hAnsi="Times New Roman" w:cs="Times New Roman"/>
          <w:bCs/>
          <w:sz w:val="28"/>
          <w:szCs w:val="28"/>
          <w:shd w:val="clear" w:color="auto" w:fill="EDEDED"/>
        </w:rPr>
        <w:t>В 2013 г. с</w:t>
      </w:r>
      <w:r w:rsidR="00B04723" w:rsidRPr="00B047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торонник отделения региона политик Х. С. </w:t>
      </w:r>
      <w:proofErr w:type="spellStart"/>
      <w:r w:rsidR="00B04723" w:rsidRPr="00B04723">
        <w:rPr>
          <w:rFonts w:ascii="Times New Roman" w:hAnsi="Times New Roman" w:cs="Times New Roman"/>
          <w:sz w:val="28"/>
          <w:szCs w:val="28"/>
          <w:shd w:val="clear" w:color="auto" w:fill="FFFFFF"/>
        </w:rPr>
        <w:t>Феррандо</w:t>
      </w:r>
      <w:proofErr w:type="spellEnd"/>
      <w:r w:rsidR="00B04723" w:rsidRPr="00B047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подчеркивал, что правовые акты Евросоюза не предусматривают ничего, что бы запретило или позволило Каталонии остаться членом ЕС после обретения независимости. По его мнению, </w:t>
      </w:r>
      <w:r w:rsidR="003C0FDD">
        <w:rPr>
          <w:rFonts w:ascii="Times New Roman" w:hAnsi="Times New Roman" w:cs="Times New Roman"/>
          <w:sz w:val="28"/>
          <w:szCs w:val="28"/>
          <w:shd w:val="clear" w:color="auto" w:fill="FFFFFF"/>
        </w:rPr>
        <w:t>Каталония</w:t>
      </w:r>
      <w:r w:rsidR="00B04723" w:rsidRPr="00B047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соответствует всем требованиям блока, а все ее жители – граждане Евросоюза, поэтому процесс каталонской </w:t>
      </w:r>
      <w:proofErr w:type="spellStart"/>
      <w:r w:rsidR="00B04723" w:rsidRPr="00B04723">
        <w:rPr>
          <w:rFonts w:ascii="Times New Roman" w:hAnsi="Times New Roman" w:cs="Times New Roman"/>
          <w:sz w:val="28"/>
          <w:szCs w:val="28"/>
          <w:shd w:val="clear" w:color="auto" w:fill="FFFFFF"/>
        </w:rPr>
        <w:t>евроинтеграции</w:t>
      </w:r>
      <w:proofErr w:type="spellEnd"/>
      <w:r w:rsidR="00B04723" w:rsidRPr="00B047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 должен начинаться заново. </w:t>
      </w:r>
      <w:r w:rsidR="00DA66B3" w:rsidRPr="00B047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2015 г. президент Каталонской национальной ассамблеи (ANC) </w:t>
      </w:r>
      <w:proofErr w:type="spellStart"/>
      <w:r w:rsidR="00DA66B3" w:rsidRPr="00B04723">
        <w:rPr>
          <w:rFonts w:ascii="Times New Roman" w:hAnsi="Times New Roman" w:cs="Times New Roman"/>
          <w:sz w:val="28"/>
          <w:szCs w:val="28"/>
          <w:shd w:val="clear" w:color="auto" w:fill="FFFFFF"/>
        </w:rPr>
        <w:t>Жорди</w:t>
      </w:r>
      <w:proofErr w:type="spellEnd"/>
      <w:r w:rsidR="00DA66B3" w:rsidRPr="00B047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Санчес утверждал, что в случае одностороннего провозглашения независимости Каталония не выйдет из состава Евросоюза, а заявления руководства ЕС и лидеров стран-членов полны противоречий. Новый руководитель Каталонии Карлос </w:t>
      </w:r>
      <w:proofErr w:type="spellStart"/>
      <w:r w:rsidR="00DA66B3" w:rsidRPr="00B04723">
        <w:rPr>
          <w:rFonts w:ascii="Times New Roman" w:hAnsi="Times New Roman" w:cs="Times New Roman"/>
          <w:sz w:val="28"/>
          <w:szCs w:val="28"/>
          <w:shd w:val="clear" w:color="auto" w:fill="FFFFFF"/>
        </w:rPr>
        <w:t>Пучдемонт</w:t>
      </w:r>
      <w:proofErr w:type="spellEnd"/>
      <w:r w:rsidR="00DA66B3" w:rsidRPr="00B047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пообещал направить «корабль Каталонии в бухту независимости».</w:t>
      </w:r>
      <w:r w:rsidR="0093686D"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  <w:footnoteReference w:id="8"/>
      </w:r>
    </w:p>
    <w:p w:rsidR="008D0481" w:rsidRPr="00B04723" w:rsidRDefault="00DA66B3" w:rsidP="003D34E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EDEDED"/>
        </w:rPr>
      </w:pPr>
      <w:r w:rsidRPr="00B04723">
        <w:rPr>
          <w:rFonts w:ascii="Times New Roman" w:hAnsi="Times New Roman" w:cs="Times New Roman"/>
          <w:bCs/>
          <w:sz w:val="28"/>
          <w:szCs w:val="28"/>
          <w:shd w:val="clear" w:color="auto" w:fill="EDEDED"/>
        </w:rPr>
        <w:t xml:space="preserve">Подобная ситуация </w:t>
      </w:r>
      <w:r w:rsidR="003B6CB7" w:rsidRPr="00B04723">
        <w:rPr>
          <w:rFonts w:ascii="Times New Roman" w:hAnsi="Times New Roman" w:cs="Times New Roman"/>
          <w:bCs/>
          <w:sz w:val="28"/>
          <w:szCs w:val="28"/>
          <w:shd w:val="clear" w:color="auto" w:fill="EDEDED"/>
        </w:rPr>
        <w:t>побужда</w:t>
      </w:r>
      <w:r w:rsidRPr="00B04723">
        <w:rPr>
          <w:rFonts w:ascii="Times New Roman" w:hAnsi="Times New Roman" w:cs="Times New Roman"/>
          <w:bCs/>
          <w:sz w:val="28"/>
          <w:szCs w:val="28"/>
          <w:shd w:val="clear" w:color="auto" w:fill="EDEDED"/>
        </w:rPr>
        <w:t>е</w:t>
      </w:r>
      <w:r w:rsidR="003B6CB7" w:rsidRPr="00B04723">
        <w:rPr>
          <w:rFonts w:ascii="Times New Roman" w:hAnsi="Times New Roman" w:cs="Times New Roman"/>
          <w:bCs/>
          <w:sz w:val="28"/>
          <w:szCs w:val="28"/>
          <w:shd w:val="clear" w:color="auto" w:fill="EDEDED"/>
        </w:rPr>
        <w:t xml:space="preserve">т представителей ЕС делать более широковещательные заявления. «В том случае, если какая-либо территория государства — члена ЕС провозглашает свою независимость, то это территориальное образование автоматически прекращает иметь отношение к ЕС и становится «третьей страной», — сообщила </w:t>
      </w:r>
      <w:proofErr w:type="spellStart"/>
      <w:r w:rsidR="003B6CB7" w:rsidRPr="00B04723">
        <w:rPr>
          <w:rFonts w:ascii="Times New Roman" w:hAnsi="Times New Roman" w:cs="Times New Roman"/>
          <w:bCs/>
          <w:sz w:val="28"/>
          <w:szCs w:val="28"/>
          <w:shd w:val="clear" w:color="auto" w:fill="EDEDED"/>
        </w:rPr>
        <w:t>Пиа</w:t>
      </w:r>
      <w:proofErr w:type="spellEnd"/>
      <w:r w:rsidR="003B6CB7" w:rsidRPr="00B04723">
        <w:rPr>
          <w:rFonts w:ascii="Times New Roman" w:hAnsi="Times New Roman" w:cs="Times New Roman"/>
          <w:bCs/>
          <w:sz w:val="28"/>
          <w:szCs w:val="28"/>
          <w:shd w:val="clear" w:color="auto" w:fill="EDEDED"/>
        </w:rPr>
        <w:t xml:space="preserve"> </w:t>
      </w:r>
      <w:proofErr w:type="spellStart"/>
      <w:r w:rsidR="003B6CB7" w:rsidRPr="00B04723">
        <w:rPr>
          <w:rFonts w:ascii="Times New Roman" w:hAnsi="Times New Roman" w:cs="Times New Roman"/>
          <w:bCs/>
          <w:sz w:val="28"/>
          <w:szCs w:val="28"/>
          <w:shd w:val="clear" w:color="auto" w:fill="EDEDED"/>
        </w:rPr>
        <w:t>Хансен</w:t>
      </w:r>
      <w:proofErr w:type="spellEnd"/>
      <w:r w:rsidR="003B6CB7" w:rsidRPr="00B04723">
        <w:rPr>
          <w:rFonts w:ascii="Times New Roman" w:hAnsi="Times New Roman" w:cs="Times New Roman"/>
          <w:bCs/>
          <w:sz w:val="28"/>
          <w:szCs w:val="28"/>
          <w:shd w:val="clear" w:color="auto" w:fill="EDEDED"/>
        </w:rPr>
        <w:t>.</w:t>
      </w:r>
    </w:p>
    <w:p w:rsidR="003D34E3" w:rsidRDefault="003B6CB7" w:rsidP="003D34E3">
      <w:pPr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04723">
        <w:rPr>
          <w:rFonts w:ascii="Times New Roman" w:hAnsi="Times New Roman" w:cs="Times New Roman"/>
          <w:bCs/>
          <w:sz w:val="28"/>
          <w:szCs w:val="28"/>
          <w:shd w:val="clear" w:color="auto" w:fill="EDEDED"/>
        </w:rPr>
        <w:t xml:space="preserve">Со своей стороны, представители ЭРА воспринимают такие декларации как попытку давления и даже шантажа. </w:t>
      </w:r>
      <w:r w:rsidR="003D34E3" w:rsidRPr="00B04723">
        <w:rPr>
          <w:rFonts w:ascii="Times New Roman" w:hAnsi="Times New Roman" w:cs="Times New Roman"/>
          <w:bCs/>
          <w:sz w:val="28"/>
          <w:szCs w:val="28"/>
          <w:shd w:val="clear" w:color="auto" w:fill="EDEDED"/>
        </w:rPr>
        <w:t>Депутат Европарламента</w:t>
      </w:r>
      <w:r w:rsidR="003D34E3" w:rsidRPr="00B0472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от Испании </w:t>
      </w:r>
      <w:proofErr w:type="spellStart"/>
      <w:r w:rsidR="003D34E3" w:rsidRPr="00B0472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Хосеп</w:t>
      </w:r>
      <w:proofErr w:type="spellEnd"/>
      <w:r w:rsidR="003D34E3" w:rsidRPr="00B0472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Мария </w:t>
      </w:r>
      <w:proofErr w:type="spellStart"/>
      <w:r w:rsidR="003D34E3" w:rsidRPr="00B0472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Террикабрас</w:t>
      </w:r>
      <w:proofErr w:type="spellEnd"/>
      <w:r w:rsidR="003D34E3" w:rsidRPr="00B0472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упрекнул ЕС в том, что он «много разглагольствует о свободе слова и праве нации на самоопределение, но затыкает свой рот в тот момент, когда речь заходит о Каталонии».</w:t>
      </w:r>
      <w:r w:rsidR="00DC1330" w:rsidRPr="00B04723">
        <w:rPr>
          <w:rStyle w:val="a5"/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footnoteReference w:id="9"/>
      </w:r>
    </w:p>
    <w:p w:rsidR="00B04723" w:rsidRPr="00B04723" w:rsidRDefault="00B04723" w:rsidP="003D34E3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Такого рода критика соотносится с представлением о том, что Европейский союз </w:t>
      </w:r>
      <w:r w:rsidR="00105B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 отношении </w:t>
      </w:r>
      <w:proofErr w:type="spellStart"/>
      <w:r w:rsidR="00105B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этнорегиональных</w:t>
      </w:r>
      <w:proofErr w:type="spellEnd"/>
      <w:r w:rsidR="00105B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автономий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по ряду параметров ведет себя подобно империи, </w:t>
      </w:r>
      <w:r w:rsidR="00105B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причем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используя варианты </w:t>
      </w:r>
      <w:r w:rsidR="00105B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не только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так называемого «культурного империализма»</w:t>
      </w:r>
      <w:r w:rsidR="00105B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включающе</w:t>
      </w:r>
      <w:r w:rsidR="00105B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символы и принципы</w:t>
      </w:r>
      <w:r w:rsidR="00105B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культурный код, но и методы экономического и политического прессинга.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105B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</w:p>
    <w:p w:rsidR="003D34E3" w:rsidRPr="003D34E3" w:rsidRDefault="003D34E3" w:rsidP="003D34E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3D34E3" w:rsidRPr="003D34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3356" w:rsidRDefault="00C33356" w:rsidP="00ED17DD">
      <w:pPr>
        <w:spacing w:after="0" w:line="240" w:lineRule="auto"/>
      </w:pPr>
      <w:r>
        <w:separator/>
      </w:r>
    </w:p>
  </w:endnote>
  <w:endnote w:type="continuationSeparator" w:id="0">
    <w:p w:rsidR="00C33356" w:rsidRDefault="00C33356" w:rsidP="00ED17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3356" w:rsidRDefault="00C33356" w:rsidP="00ED17DD">
      <w:pPr>
        <w:spacing w:after="0" w:line="240" w:lineRule="auto"/>
      </w:pPr>
      <w:r>
        <w:separator/>
      </w:r>
    </w:p>
  </w:footnote>
  <w:footnote w:type="continuationSeparator" w:id="0">
    <w:p w:rsidR="00C33356" w:rsidRDefault="00C33356" w:rsidP="00ED17DD">
      <w:pPr>
        <w:spacing w:after="0" w:line="240" w:lineRule="auto"/>
      </w:pPr>
      <w:r>
        <w:continuationSeparator/>
      </w:r>
    </w:p>
  </w:footnote>
  <w:footnote w:id="1">
    <w:p w:rsidR="00565346" w:rsidRPr="00565346" w:rsidRDefault="00565346">
      <w:pPr>
        <w:pStyle w:val="a3"/>
        <w:rPr>
          <w:lang w:val="en-US"/>
        </w:rPr>
      </w:pPr>
      <w:r>
        <w:rPr>
          <w:rStyle w:val="a5"/>
        </w:rPr>
        <w:footnoteRef/>
      </w:r>
      <w:r w:rsidRPr="00565346">
        <w:rPr>
          <w:lang w:val="en-US"/>
        </w:rPr>
        <w:t xml:space="preserve"> </w:t>
      </w:r>
      <w:r>
        <w:rPr>
          <w:lang w:val="en-US"/>
        </w:rPr>
        <w:t xml:space="preserve">Revisited the European Union as Empire. Ed. By </w:t>
      </w:r>
      <w:proofErr w:type="spellStart"/>
      <w:r>
        <w:rPr>
          <w:lang w:val="en-US"/>
        </w:rPr>
        <w:t>H.Behr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Y.A.Stevachitis</w:t>
      </w:r>
      <w:proofErr w:type="spellEnd"/>
      <w:r>
        <w:rPr>
          <w:lang w:val="en-US"/>
        </w:rPr>
        <w:t>. Routledge, 2016.</w:t>
      </w:r>
    </w:p>
  </w:footnote>
  <w:footnote w:id="2">
    <w:p w:rsidR="00ED17DD" w:rsidRPr="009A344D" w:rsidRDefault="00ED17DD" w:rsidP="00ED17DD">
      <w:pPr>
        <w:pStyle w:val="a3"/>
      </w:pPr>
      <w:r>
        <w:rPr>
          <w:rStyle w:val="a5"/>
        </w:rPr>
        <w:footnoteRef/>
      </w:r>
      <w:r>
        <w:t xml:space="preserve"> </w:t>
      </w:r>
      <w:proofErr w:type="spellStart"/>
      <w:r>
        <w:t>Ниццкий</w:t>
      </w:r>
      <w:proofErr w:type="spellEnd"/>
      <w:r>
        <w:t xml:space="preserve"> договор и  Хартия основных прав Европейского Союза / Под общ</w:t>
      </w:r>
      <w:proofErr w:type="gramStart"/>
      <w:r>
        <w:t>.</w:t>
      </w:r>
      <w:proofErr w:type="gramEnd"/>
      <w:r>
        <w:t xml:space="preserve"> </w:t>
      </w:r>
      <w:proofErr w:type="gramStart"/>
      <w:r>
        <w:t>р</w:t>
      </w:r>
      <w:proofErr w:type="gramEnd"/>
      <w:r>
        <w:t xml:space="preserve">ед. </w:t>
      </w:r>
      <w:proofErr w:type="spellStart"/>
      <w:r>
        <w:t>Энтина</w:t>
      </w:r>
      <w:proofErr w:type="spellEnd"/>
      <w:r>
        <w:t xml:space="preserve">  Л. М., перевод с  франц. языка </w:t>
      </w:r>
      <w:proofErr w:type="spellStart"/>
      <w:r>
        <w:t>Луканина</w:t>
      </w:r>
      <w:proofErr w:type="spellEnd"/>
      <w:r>
        <w:t>  Д. В.  — М.: Норма, 2003.</w:t>
      </w:r>
      <w:r w:rsidRPr="009A344D">
        <w:t xml:space="preserve"> </w:t>
      </w:r>
    </w:p>
    <w:p w:rsidR="00ED17DD" w:rsidRDefault="00ED17DD" w:rsidP="00ED17DD">
      <w:pPr>
        <w:pStyle w:val="a3"/>
      </w:pPr>
    </w:p>
  </w:footnote>
  <w:footnote w:id="3">
    <w:p w:rsidR="00ED17DD" w:rsidRPr="00CF3EC0" w:rsidRDefault="00ED17DD" w:rsidP="00ED17DD">
      <w:pPr>
        <w:pStyle w:val="a3"/>
        <w:rPr>
          <w:lang w:val="en-US"/>
        </w:rPr>
      </w:pPr>
      <w:r>
        <w:rPr>
          <w:rStyle w:val="a5"/>
        </w:rPr>
        <w:footnoteRef/>
      </w:r>
      <w:proofErr w:type="spellStart"/>
      <w:r>
        <w:t>Ниццкий</w:t>
      </w:r>
      <w:proofErr w:type="spellEnd"/>
      <w:r>
        <w:t xml:space="preserve"> договор и  Хартия основных прав Европейского Союза / Под общ</w:t>
      </w:r>
      <w:proofErr w:type="gramStart"/>
      <w:r>
        <w:t>.</w:t>
      </w:r>
      <w:proofErr w:type="gramEnd"/>
      <w:r>
        <w:t xml:space="preserve"> </w:t>
      </w:r>
      <w:proofErr w:type="gramStart"/>
      <w:r>
        <w:t>р</w:t>
      </w:r>
      <w:proofErr w:type="gramEnd"/>
      <w:r>
        <w:t xml:space="preserve">ед. </w:t>
      </w:r>
      <w:proofErr w:type="spellStart"/>
      <w:r>
        <w:t>Энтина</w:t>
      </w:r>
      <w:proofErr w:type="spellEnd"/>
      <w:r>
        <w:t xml:space="preserve">  Л. М., перевод с  франц. языка </w:t>
      </w:r>
      <w:proofErr w:type="spellStart"/>
      <w:r>
        <w:t>Луканина</w:t>
      </w:r>
      <w:proofErr w:type="spellEnd"/>
      <w:r>
        <w:t xml:space="preserve">  Д. В.  </w:t>
      </w:r>
      <w:r w:rsidRPr="00CF3EC0">
        <w:rPr>
          <w:lang w:val="en-US"/>
        </w:rPr>
        <w:t xml:space="preserve">— </w:t>
      </w:r>
      <w:r>
        <w:t>М</w:t>
      </w:r>
      <w:r w:rsidRPr="00CF3EC0">
        <w:rPr>
          <w:lang w:val="en-US"/>
        </w:rPr>
        <w:t xml:space="preserve">.: </w:t>
      </w:r>
      <w:r>
        <w:t>Норма</w:t>
      </w:r>
      <w:r w:rsidRPr="00CF3EC0">
        <w:rPr>
          <w:lang w:val="en-US"/>
        </w:rPr>
        <w:t xml:space="preserve">, 2003. </w:t>
      </w:r>
    </w:p>
  </w:footnote>
  <w:footnote w:id="4">
    <w:p w:rsidR="00ED17DD" w:rsidRPr="004C3CBA" w:rsidRDefault="00ED17DD" w:rsidP="00ED17DD">
      <w:pPr>
        <w:rPr>
          <w:sz w:val="20"/>
          <w:szCs w:val="20"/>
        </w:rPr>
      </w:pPr>
      <w:r w:rsidRPr="001E00B7">
        <w:rPr>
          <w:rStyle w:val="a5"/>
          <w:sz w:val="20"/>
          <w:szCs w:val="20"/>
        </w:rPr>
        <w:footnoteRef/>
      </w:r>
      <w:r w:rsidRPr="001E00B7">
        <w:rPr>
          <w:sz w:val="20"/>
          <w:szCs w:val="20"/>
          <w:lang w:val="en-US"/>
        </w:rPr>
        <w:t xml:space="preserve"> International Covenant on Civil and Political Rights, 1966</w:t>
      </w:r>
      <w:r w:rsidRPr="004C3CBA">
        <w:rPr>
          <w:sz w:val="20"/>
          <w:szCs w:val="20"/>
          <w:lang w:val="en-US"/>
        </w:rPr>
        <w:t>.</w:t>
      </w:r>
      <w:r w:rsidRPr="001E00B7"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</w:rPr>
        <w:t>Доступ</w:t>
      </w:r>
      <w:r w:rsidRPr="004C3CBA">
        <w:rPr>
          <w:sz w:val="20"/>
          <w:szCs w:val="20"/>
        </w:rPr>
        <w:t xml:space="preserve">: </w:t>
      </w:r>
      <w:r w:rsidRPr="004C3CBA">
        <w:rPr>
          <w:b/>
          <w:sz w:val="20"/>
          <w:szCs w:val="20"/>
        </w:rPr>
        <w:t xml:space="preserve"> </w:t>
      </w:r>
      <w:r w:rsidRPr="004C3CBA">
        <w:rPr>
          <w:sz w:val="20"/>
          <w:szCs w:val="20"/>
        </w:rPr>
        <w:t xml:space="preserve"> </w:t>
      </w:r>
      <w:r w:rsidRPr="001E00B7">
        <w:rPr>
          <w:sz w:val="20"/>
          <w:szCs w:val="20"/>
          <w:lang w:val="en-US"/>
        </w:rPr>
        <w:t>http</w:t>
      </w:r>
      <w:r w:rsidRPr="004C3CBA">
        <w:rPr>
          <w:sz w:val="20"/>
          <w:szCs w:val="20"/>
        </w:rPr>
        <w:t>://</w:t>
      </w:r>
      <w:r w:rsidRPr="001E00B7">
        <w:rPr>
          <w:sz w:val="20"/>
          <w:szCs w:val="20"/>
          <w:lang w:val="en-US"/>
        </w:rPr>
        <w:t>www</w:t>
      </w:r>
      <w:r w:rsidRPr="004C3CBA">
        <w:rPr>
          <w:sz w:val="20"/>
          <w:szCs w:val="20"/>
        </w:rPr>
        <w:t>1.</w:t>
      </w:r>
      <w:proofErr w:type="spellStart"/>
      <w:r w:rsidRPr="001E00B7">
        <w:rPr>
          <w:sz w:val="20"/>
          <w:szCs w:val="20"/>
          <w:lang w:val="en-US"/>
        </w:rPr>
        <w:t>umn</w:t>
      </w:r>
      <w:proofErr w:type="spellEnd"/>
      <w:r w:rsidRPr="004C3CBA">
        <w:rPr>
          <w:sz w:val="20"/>
          <w:szCs w:val="20"/>
        </w:rPr>
        <w:t>.</w:t>
      </w:r>
      <w:proofErr w:type="spellStart"/>
      <w:r w:rsidRPr="001E00B7">
        <w:rPr>
          <w:sz w:val="20"/>
          <w:szCs w:val="20"/>
          <w:lang w:val="en-US"/>
        </w:rPr>
        <w:t>edu</w:t>
      </w:r>
      <w:proofErr w:type="spellEnd"/>
      <w:r w:rsidRPr="004C3CBA">
        <w:rPr>
          <w:sz w:val="20"/>
          <w:szCs w:val="20"/>
        </w:rPr>
        <w:t>/</w:t>
      </w:r>
      <w:proofErr w:type="spellStart"/>
      <w:r w:rsidRPr="001E00B7">
        <w:rPr>
          <w:sz w:val="20"/>
          <w:szCs w:val="20"/>
          <w:lang w:val="en-US"/>
        </w:rPr>
        <w:t>humanrts</w:t>
      </w:r>
      <w:proofErr w:type="spellEnd"/>
      <w:r w:rsidRPr="004C3CBA">
        <w:rPr>
          <w:sz w:val="20"/>
          <w:szCs w:val="20"/>
        </w:rPr>
        <w:t>/</w:t>
      </w:r>
      <w:proofErr w:type="spellStart"/>
      <w:r w:rsidRPr="001E00B7">
        <w:rPr>
          <w:sz w:val="20"/>
          <w:szCs w:val="20"/>
          <w:lang w:val="en-US"/>
        </w:rPr>
        <w:t>instree</w:t>
      </w:r>
      <w:proofErr w:type="spellEnd"/>
      <w:r w:rsidRPr="004C3CBA">
        <w:rPr>
          <w:sz w:val="20"/>
          <w:szCs w:val="20"/>
        </w:rPr>
        <w:t>/</w:t>
      </w:r>
      <w:r w:rsidRPr="001E00B7">
        <w:rPr>
          <w:sz w:val="20"/>
          <w:szCs w:val="20"/>
          <w:lang w:val="en-US"/>
        </w:rPr>
        <w:t>b</w:t>
      </w:r>
      <w:r w:rsidRPr="004C3CBA">
        <w:rPr>
          <w:sz w:val="20"/>
          <w:szCs w:val="20"/>
        </w:rPr>
        <w:t>3</w:t>
      </w:r>
      <w:proofErr w:type="spellStart"/>
      <w:r w:rsidRPr="001E00B7">
        <w:rPr>
          <w:sz w:val="20"/>
          <w:szCs w:val="20"/>
          <w:lang w:val="en-US"/>
        </w:rPr>
        <w:t>ccpr</w:t>
      </w:r>
      <w:proofErr w:type="spellEnd"/>
      <w:r w:rsidRPr="004C3CBA">
        <w:rPr>
          <w:sz w:val="20"/>
          <w:szCs w:val="20"/>
        </w:rPr>
        <w:t>.</w:t>
      </w:r>
      <w:proofErr w:type="spellStart"/>
      <w:r w:rsidRPr="001E00B7">
        <w:rPr>
          <w:sz w:val="20"/>
          <w:szCs w:val="20"/>
          <w:lang w:val="en-US"/>
        </w:rPr>
        <w:t>htm</w:t>
      </w:r>
      <w:proofErr w:type="spellEnd"/>
      <w:r w:rsidRPr="004C3CBA">
        <w:rPr>
          <w:sz w:val="20"/>
          <w:szCs w:val="20"/>
        </w:rPr>
        <w:t xml:space="preserve">  </w:t>
      </w:r>
    </w:p>
  </w:footnote>
  <w:footnote w:id="5">
    <w:p w:rsidR="00ED17DD" w:rsidRPr="009E5FB9" w:rsidRDefault="00ED17DD" w:rsidP="00ED17DD">
      <w:pPr>
        <w:spacing w:line="360" w:lineRule="auto"/>
        <w:jc w:val="both"/>
        <w:rPr>
          <w:rFonts w:ascii="Times New Roman" w:hAnsi="Times New Roman"/>
          <w:sz w:val="20"/>
          <w:szCs w:val="20"/>
          <w:lang w:val="en-US"/>
        </w:rPr>
      </w:pPr>
      <w:r>
        <w:rPr>
          <w:rStyle w:val="a5"/>
        </w:rPr>
        <w:footnoteRef/>
      </w:r>
      <w:r w:rsidRPr="00AB7478">
        <w:rPr>
          <w:rFonts w:ascii="Times New Roman" w:hAnsi="Times New Roman"/>
          <w:color w:val="000000"/>
          <w:sz w:val="20"/>
          <w:szCs w:val="20"/>
          <w:lang w:val="en-US"/>
        </w:rPr>
        <w:t xml:space="preserve"> </w:t>
      </w:r>
      <w:r w:rsidRPr="007E64D2">
        <w:rPr>
          <w:rFonts w:ascii="Times New Roman" w:hAnsi="Times New Roman"/>
          <w:color w:val="000000"/>
          <w:sz w:val="20"/>
          <w:szCs w:val="20"/>
          <w:lang w:val="en-US"/>
        </w:rPr>
        <w:t xml:space="preserve">Keating M. </w:t>
      </w:r>
      <w:r w:rsidRPr="007E64D2">
        <w:rPr>
          <w:rFonts w:ascii="Times New Roman" w:hAnsi="Times New Roman"/>
          <w:bCs/>
          <w:color w:val="000000"/>
          <w:sz w:val="20"/>
          <w:szCs w:val="20"/>
          <w:lang w:val="en-US"/>
        </w:rPr>
        <w:t>European Integration and the Nationalities Question</w:t>
      </w:r>
      <w:r w:rsidRPr="007E64D2">
        <w:rPr>
          <w:rFonts w:ascii="Times New Roman" w:hAnsi="Times New Roman"/>
          <w:bCs/>
          <w:sz w:val="20"/>
          <w:szCs w:val="20"/>
          <w:lang w:val="en-US"/>
        </w:rPr>
        <w:t xml:space="preserve"> / M. </w:t>
      </w:r>
      <w:r w:rsidRPr="007E64D2">
        <w:rPr>
          <w:rFonts w:ascii="Times New Roman" w:hAnsi="Times New Roman"/>
          <w:sz w:val="20"/>
          <w:szCs w:val="20"/>
          <w:lang w:val="en-US"/>
        </w:rPr>
        <w:t xml:space="preserve">Keating </w:t>
      </w:r>
      <w:r w:rsidRPr="007E64D2">
        <w:rPr>
          <w:rFonts w:ascii="Times New Roman" w:hAnsi="Times New Roman"/>
          <w:bCs/>
          <w:color w:val="000000"/>
          <w:sz w:val="20"/>
          <w:szCs w:val="20"/>
          <w:lang w:val="en-US"/>
        </w:rPr>
        <w:t>//</w:t>
      </w:r>
      <w:r w:rsidRPr="007E64D2">
        <w:rPr>
          <w:rFonts w:ascii="Times New Roman" w:hAnsi="Times New Roman"/>
          <w:i/>
          <w:iCs/>
          <w:color w:val="000000"/>
          <w:sz w:val="20"/>
          <w:szCs w:val="20"/>
          <w:lang w:val="en-US"/>
        </w:rPr>
        <w:t xml:space="preserve"> Politics&amp; Society</w:t>
      </w:r>
      <w:r w:rsidRPr="007E64D2">
        <w:rPr>
          <w:rFonts w:ascii="Times New Roman" w:hAnsi="Times New Roman"/>
          <w:i/>
          <w:iCs/>
          <w:sz w:val="20"/>
          <w:szCs w:val="20"/>
          <w:lang w:val="en-US"/>
        </w:rPr>
        <w:t xml:space="preserve"> -</w:t>
      </w:r>
      <w:r w:rsidRPr="007E64D2">
        <w:rPr>
          <w:rFonts w:ascii="Times New Roman" w:hAnsi="Times New Roman"/>
          <w:i/>
          <w:iCs/>
          <w:color w:val="000000"/>
          <w:sz w:val="20"/>
          <w:szCs w:val="20"/>
          <w:lang w:val="en-US"/>
        </w:rPr>
        <w:t xml:space="preserve"> </w:t>
      </w:r>
      <w:r w:rsidRPr="007E64D2">
        <w:rPr>
          <w:rFonts w:ascii="Times New Roman" w:hAnsi="Times New Roman"/>
          <w:color w:val="000000"/>
          <w:sz w:val="20"/>
          <w:szCs w:val="20"/>
          <w:lang w:val="en-US"/>
        </w:rPr>
        <w:t>2004</w:t>
      </w:r>
      <w:r w:rsidRPr="007E64D2">
        <w:rPr>
          <w:rFonts w:ascii="Times New Roman" w:hAnsi="Times New Roman"/>
          <w:sz w:val="20"/>
          <w:szCs w:val="20"/>
          <w:lang w:val="en-US"/>
        </w:rPr>
        <w:t>. Vol</w:t>
      </w:r>
      <w:r w:rsidRPr="009E5FB9">
        <w:rPr>
          <w:rFonts w:ascii="Times New Roman" w:hAnsi="Times New Roman"/>
          <w:sz w:val="20"/>
          <w:szCs w:val="20"/>
          <w:lang w:val="en-US"/>
        </w:rPr>
        <w:t xml:space="preserve">. 31, № 1. - </w:t>
      </w:r>
      <w:r w:rsidRPr="007E64D2">
        <w:rPr>
          <w:rFonts w:ascii="Times New Roman" w:hAnsi="Times New Roman"/>
          <w:color w:val="000000"/>
          <w:sz w:val="20"/>
          <w:szCs w:val="20"/>
        </w:rPr>
        <w:t>Р</w:t>
      </w:r>
      <w:r w:rsidRPr="009E5FB9">
        <w:rPr>
          <w:rFonts w:ascii="Times New Roman" w:hAnsi="Times New Roman"/>
          <w:sz w:val="20"/>
          <w:szCs w:val="20"/>
          <w:lang w:val="en-US"/>
        </w:rPr>
        <w:t>.</w:t>
      </w:r>
      <w:r w:rsidRPr="009E5FB9">
        <w:rPr>
          <w:rFonts w:ascii="Times New Roman" w:hAnsi="Times New Roman"/>
          <w:color w:val="000000"/>
          <w:sz w:val="20"/>
          <w:szCs w:val="20"/>
          <w:lang w:val="en-US"/>
        </w:rPr>
        <w:t>369</w:t>
      </w:r>
      <w:r w:rsidRPr="009E5FB9">
        <w:rPr>
          <w:rFonts w:ascii="Times New Roman" w:hAnsi="Times New Roman"/>
          <w:sz w:val="20"/>
          <w:szCs w:val="20"/>
          <w:lang w:val="en-US"/>
        </w:rPr>
        <w:t xml:space="preserve"> </w:t>
      </w:r>
    </w:p>
    <w:p w:rsidR="00ED17DD" w:rsidRPr="009E5FB9" w:rsidRDefault="00ED17DD" w:rsidP="00ED17DD">
      <w:pPr>
        <w:pStyle w:val="a3"/>
        <w:rPr>
          <w:lang w:val="en-US"/>
        </w:rPr>
      </w:pPr>
      <w:r w:rsidRPr="009E5FB9">
        <w:rPr>
          <w:lang w:val="en-US"/>
        </w:rPr>
        <w:t xml:space="preserve"> </w:t>
      </w:r>
    </w:p>
  </w:footnote>
  <w:footnote w:id="6">
    <w:p w:rsidR="00ED17DD" w:rsidRPr="007E64D2" w:rsidRDefault="00ED17DD" w:rsidP="00ED17DD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Style w:val="a5"/>
        </w:rPr>
        <w:footnoteRef/>
      </w:r>
      <w:r w:rsidRPr="00FD7863">
        <w:rPr>
          <w:lang w:val="en-US"/>
        </w:rPr>
        <w:t xml:space="preserve"> </w:t>
      </w:r>
      <w:r w:rsidRPr="007E64D2">
        <w:rPr>
          <w:rFonts w:ascii="Times New Roman" w:hAnsi="Times New Roman"/>
          <w:color w:val="000000"/>
          <w:sz w:val="20"/>
          <w:szCs w:val="20"/>
          <w:lang w:val="en-US"/>
        </w:rPr>
        <w:t xml:space="preserve">Keating M. </w:t>
      </w:r>
      <w:r w:rsidRPr="007E64D2">
        <w:rPr>
          <w:rFonts w:ascii="Times New Roman" w:hAnsi="Times New Roman"/>
          <w:bCs/>
          <w:color w:val="000000"/>
          <w:sz w:val="20"/>
          <w:szCs w:val="20"/>
          <w:lang w:val="en-US"/>
        </w:rPr>
        <w:t>European Integration and the Nationalities Question</w:t>
      </w:r>
      <w:r w:rsidRPr="007E64D2">
        <w:rPr>
          <w:rFonts w:ascii="Times New Roman" w:hAnsi="Times New Roman"/>
          <w:bCs/>
          <w:sz w:val="20"/>
          <w:szCs w:val="20"/>
          <w:lang w:val="en-US"/>
        </w:rPr>
        <w:t xml:space="preserve"> / M. </w:t>
      </w:r>
      <w:r w:rsidRPr="007E64D2">
        <w:rPr>
          <w:rFonts w:ascii="Times New Roman" w:hAnsi="Times New Roman"/>
          <w:sz w:val="20"/>
          <w:szCs w:val="20"/>
          <w:lang w:val="en-US"/>
        </w:rPr>
        <w:t xml:space="preserve">Keating </w:t>
      </w:r>
      <w:r w:rsidRPr="007E64D2">
        <w:rPr>
          <w:rFonts w:ascii="Times New Roman" w:hAnsi="Times New Roman"/>
          <w:bCs/>
          <w:color w:val="000000"/>
          <w:sz w:val="20"/>
          <w:szCs w:val="20"/>
          <w:lang w:val="en-US"/>
        </w:rPr>
        <w:t>//</w:t>
      </w:r>
      <w:r w:rsidRPr="007E64D2">
        <w:rPr>
          <w:rFonts w:ascii="Times New Roman" w:hAnsi="Times New Roman"/>
          <w:i/>
          <w:iCs/>
          <w:color w:val="000000"/>
          <w:sz w:val="20"/>
          <w:szCs w:val="20"/>
          <w:lang w:val="en-US"/>
        </w:rPr>
        <w:t xml:space="preserve"> Politics&amp; Society</w:t>
      </w:r>
      <w:r w:rsidRPr="007E64D2">
        <w:rPr>
          <w:rFonts w:ascii="Times New Roman" w:hAnsi="Times New Roman"/>
          <w:i/>
          <w:iCs/>
          <w:sz w:val="20"/>
          <w:szCs w:val="20"/>
          <w:lang w:val="en-US"/>
        </w:rPr>
        <w:t xml:space="preserve"> -</w:t>
      </w:r>
      <w:r w:rsidRPr="007E64D2">
        <w:rPr>
          <w:rFonts w:ascii="Times New Roman" w:hAnsi="Times New Roman"/>
          <w:i/>
          <w:iCs/>
          <w:color w:val="000000"/>
          <w:sz w:val="20"/>
          <w:szCs w:val="20"/>
          <w:lang w:val="en-US"/>
        </w:rPr>
        <w:t xml:space="preserve"> </w:t>
      </w:r>
      <w:r w:rsidRPr="007E64D2">
        <w:rPr>
          <w:rFonts w:ascii="Times New Roman" w:hAnsi="Times New Roman"/>
          <w:color w:val="000000"/>
          <w:sz w:val="20"/>
          <w:szCs w:val="20"/>
          <w:lang w:val="en-US"/>
        </w:rPr>
        <w:t>2004</w:t>
      </w:r>
      <w:r w:rsidRPr="007E64D2">
        <w:rPr>
          <w:rFonts w:ascii="Times New Roman" w:hAnsi="Times New Roman"/>
          <w:sz w:val="20"/>
          <w:szCs w:val="20"/>
          <w:lang w:val="en-US"/>
        </w:rPr>
        <w:t>. Vol</w:t>
      </w:r>
      <w:r w:rsidRPr="007E64D2">
        <w:rPr>
          <w:rFonts w:ascii="Times New Roman" w:hAnsi="Times New Roman"/>
          <w:sz w:val="20"/>
          <w:szCs w:val="20"/>
        </w:rPr>
        <w:t xml:space="preserve">. 31, № 1. - </w:t>
      </w:r>
      <w:r w:rsidRPr="007E64D2">
        <w:rPr>
          <w:rFonts w:ascii="Times New Roman" w:hAnsi="Times New Roman"/>
          <w:color w:val="000000"/>
          <w:sz w:val="20"/>
          <w:szCs w:val="20"/>
        </w:rPr>
        <w:t>Р</w:t>
      </w:r>
      <w:r w:rsidRPr="007E64D2">
        <w:rPr>
          <w:rFonts w:ascii="Times New Roman" w:hAnsi="Times New Roman"/>
          <w:sz w:val="20"/>
          <w:szCs w:val="20"/>
        </w:rPr>
        <w:t>.</w:t>
      </w:r>
      <w:r w:rsidRPr="007E64D2">
        <w:rPr>
          <w:rFonts w:ascii="Times New Roman" w:hAnsi="Times New Roman"/>
          <w:color w:val="000000"/>
          <w:sz w:val="20"/>
          <w:szCs w:val="20"/>
        </w:rPr>
        <w:t>369</w:t>
      </w:r>
      <w:r w:rsidRPr="007E64D2">
        <w:rPr>
          <w:rFonts w:ascii="Times New Roman" w:hAnsi="Times New Roman"/>
          <w:sz w:val="20"/>
          <w:szCs w:val="20"/>
        </w:rPr>
        <w:t xml:space="preserve"> </w:t>
      </w:r>
    </w:p>
    <w:p w:rsidR="00ED17DD" w:rsidRDefault="00ED17DD" w:rsidP="00ED17DD">
      <w:pPr>
        <w:pStyle w:val="a3"/>
      </w:pPr>
    </w:p>
  </w:footnote>
  <w:footnote w:id="7">
    <w:p w:rsidR="00ED17DD" w:rsidRPr="00ED17DD" w:rsidRDefault="00ED17DD" w:rsidP="00ED17D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Style w:val="a5"/>
        </w:rPr>
        <w:footnoteRef/>
      </w:r>
      <w:r w:rsidRPr="00CF3EC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360A4">
        <w:rPr>
          <w:rFonts w:ascii="Times New Roman" w:hAnsi="Times New Roman" w:cs="Times New Roman"/>
          <w:color w:val="000000"/>
          <w:sz w:val="24"/>
          <w:szCs w:val="24"/>
          <w:lang w:val="en-US"/>
        </w:rPr>
        <w:t>Duerr</w:t>
      </w:r>
      <w:proofErr w:type="spellEnd"/>
      <w:r w:rsidRPr="00ED17D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A360A4">
        <w:rPr>
          <w:rFonts w:ascii="Times New Roman" w:hAnsi="Times New Roman" w:cs="Times New Roman"/>
          <w:color w:val="000000"/>
          <w:sz w:val="24"/>
          <w:szCs w:val="24"/>
          <w:lang w:val="en-US"/>
        </w:rPr>
        <w:t>Glenn</w:t>
      </w:r>
      <w:r w:rsidRPr="00CF3EC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A360A4">
        <w:rPr>
          <w:rFonts w:ascii="Times New Roman" w:hAnsi="Times New Roman" w:cs="Times New Roman"/>
          <w:color w:val="000000"/>
          <w:sz w:val="24"/>
          <w:szCs w:val="24"/>
          <w:lang w:val="en-US"/>
        </w:rPr>
        <w:t>M</w:t>
      </w:r>
      <w:r w:rsidRPr="00CF3EC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r w:rsidRPr="00A360A4">
        <w:rPr>
          <w:rFonts w:ascii="Times New Roman" w:hAnsi="Times New Roman" w:cs="Times New Roman"/>
          <w:color w:val="000000"/>
          <w:sz w:val="24"/>
          <w:szCs w:val="24"/>
          <w:lang w:val="en-US"/>
        </w:rPr>
        <w:t>E</w:t>
      </w:r>
      <w:r w:rsidRPr="00CF3EC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r w:rsidRPr="00A360A4">
        <w:rPr>
          <w:rFonts w:ascii="Times New Roman" w:hAnsi="Times New Roman" w:cs="Times New Roman"/>
          <w:color w:val="000000"/>
          <w:sz w:val="24"/>
          <w:szCs w:val="24"/>
          <w:lang w:val="en-US"/>
        </w:rPr>
        <w:t>Secessionism and the European Union: The Future of Flanders, Scotland</w:t>
      </w:r>
      <w:proofErr w:type="gramStart"/>
      <w:r w:rsidRPr="00A360A4">
        <w:rPr>
          <w:rFonts w:ascii="Times New Roman" w:hAnsi="Times New Roman" w:cs="Times New Roman"/>
          <w:color w:val="000000"/>
          <w:sz w:val="24"/>
          <w:szCs w:val="24"/>
          <w:lang w:val="en-US"/>
        </w:rPr>
        <w:t>,</w:t>
      </w:r>
      <w:proofErr w:type="gramEnd"/>
      <w:r w:rsidRPr="00A360A4">
        <w:rPr>
          <w:rFonts w:ascii="Times New Roman" w:hAnsi="Times New Roman" w:cs="Times New Roman"/>
          <w:color w:val="000000"/>
          <w:sz w:val="24"/>
          <w:szCs w:val="24"/>
          <w:lang w:val="en-US"/>
        </w:rPr>
        <w:br/>
        <w:t xml:space="preserve">and Catalonia. </w:t>
      </w:r>
      <w:r w:rsidRPr="00ED17DD">
        <w:rPr>
          <w:rFonts w:ascii="Times New Roman" w:hAnsi="Times New Roman" w:cs="Times New Roman"/>
          <w:color w:val="000000"/>
          <w:sz w:val="24"/>
          <w:szCs w:val="24"/>
          <w:lang w:val="en-US"/>
        </w:rPr>
        <w:t>(</w:t>
      </w:r>
      <w:r w:rsidRPr="00A360A4">
        <w:rPr>
          <w:rFonts w:ascii="Times New Roman" w:hAnsi="Times New Roman" w:cs="Times New Roman"/>
          <w:color w:val="000000"/>
          <w:sz w:val="24"/>
          <w:szCs w:val="24"/>
          <w:lang w:val="en-US"/>
        </w:rPr>
        <w:t>Lanham</w:t>
      </w:r>
      <w:r w:rsidRPr="00ED17D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r w:rsidRPr="00A360A4">
        <w:rPr>
          <w:rFonts w:ascii="Times New Roman" w:hAnsi="Times New Roman" w:cs="Times New Roman"/>
          <w:color w:val="000000"/>
          <w:sz w:val="24"/>
          <w:szCs w:val="24"/>
          <w:lang w:val="en-US"/>
        </w:rPr>
        <w:t>MD</w:t>
      </w:r>
      <w:r w:rsidRPr="00ED17D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: </w:t>
      </w:r>
      <w:r w:rsidRPr="00A360A4">
        <w:rPr>
          <w:rFonts w:ascii="Times New Roman" w:hAnsi="Times New Roman" w:cs="Times New Roman"/>
          <w:color w:val="000000"/>
          <w:sz w:val="24"/>
          <w:szCs w:val="24"/>
          <w:lang w:val="en-US"/>
        </w:rPr>
        <w:t>Lexington</w:t>
      </w:r>
      <w:r w:rsidRPr="00ED17D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A360A4">
        <w:rPr>
          <w:rFonts w:ascii="Times New Roman" w:hAnsi="Times New Roman" w:cs="Times New Roman"/>
          <w:color w:val="000000"/>
          <w:sz w:val="24"/>
          <w:szCs w:val="24"/>
          <w:lang w:val="en-US"/>
        </w:rPr>
        <w:t>Books</w:t>
      </w:r>
      <w:r w:rsidRPr="00ED17D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2015), 226 </w:t>
      </w:r>
      <w:r w:rsidRPr="00A360A4">
        <w:rPr>
          <w:rFonts w:ascii="Times New Roman" w:hAnsi="Times New Roman" w:cs="Times New Roman"/>
          <w:color w:val="000000"/>
          <w:sz w:val="24"/>
          <w:szCs w:val="24"/>
          <w:lang w:val="en-US"/>
        </w:rPr>
        <w:t>pp</w:t>
      </w:r>
    </w:p>
    <w:p w:rsidR="00ED17DD" w:rsidRPr="00ED17DD" w:rsidRDefault="00ED17DD">
      <w:pPr>
        <w:pStyle w:val="a3"/>
        <w:rPr>
          <w:lang w:val="en-US"/>
        </w:rPr>
      </w:pPr>
    </w:p>
  </w:footnote>
  <w:footnote w:id="8">
    <w:p w:rsidR="0093686D" w:rsidRPr="0093686D" w:rsidRDefault="0093686D">
      <w:pPr>
        <w:pStyle w:val="a3"/>
        <w:rPr>
          <w:lang w:val="en-US"/>
        </w:rPr>
      </w:pPr>
      <w:r>
        <w:rPr>
          <w:rStyle w:val="a5"/>
        </w:rPr>
        <w:footnoteRef/>
      </w:r>
      <w:r w:rsidRPr="0093686D">
        <w:rPr>
          <w:lang w:val="en-US"/>
        </w:rPr>
        <w:t xml:space="preserve"> </w:t>
      </w:r>
      <w:r>
        <w:rPr>
          <w:lang w:val="en-US"/>
        </w:rPr>
        <w:t xml:space="preserve">Secession from a Member State and Withdrawal from the European Union. Troubled Membership. Ed. By Carlos </w:t>
      </w:r>
      <w:proofErr w:type="spellStart"/>
      <w:r>
        <w:rPr>
          <w:lang w:val="en-US"/>
        </w:rPr>
        <w:t>Closa</w:t>
      </w:r>
      <w:proofErr w:type="spellEnd"/>
      <w:r>
        <w:rPr>
          <w:lang w:val="en-US"/>
        </w:rPr>
        <w:t>. Cambridge University Press, 2017.</w:t>
      </w:r>
    </w:p>
  </w:footnote>
  <w:footnote w:id="9">
    <w:p w:rsidR="00DC1330" w:rsidRPr="0093686D" w:rsidRDefault="00DC1330">
      <w:pPr>
        <w:pStyle w:val="a3"/>
        <w:rPr>
          <w:lang w:val="en-US"/>
        </w:rPr>
      </w:pPr>
      <w:r>
        <w:rPr>
          <w:rStyle w:val="a5"/>
        </w:rPr>
        <w:footnoteRef/>
      </w:r>
      <w:r w:rsidRPr="0093686D">
        <w:rPr>
          <w:lang w:val="en-US"/>
        </w:rPr>
        <w:t xml:space="preserve"> </w:t>
      </w:r>
      <w:r>
        <w:t>Режим</w:t>
      </w:r>
      <w:r w:rsidRPr="0093686D">
        <w:rPr>
          <w:lang w:val="en-US"/>
        </w:rPr>
        <w:t xml:space="preserve"> </w:t>
      </w:r>
      <w:r>
        <w:t>доступа</w:t>
      </w:r>
      <w:r w:rsidRPr="0093686D">
        <w:rPr>
          <w:lang w:val="en-US"/>
        </w:rPr>
        <w:t>: https://regnum.ru/news/2305210.html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20B"/>
    <w:rsid w:val="0009720B"/>
    <w:rsid w:val="00105B47"/>
    <w:rsid w:val="001849F8"/>
    <w:rsid w:val="0037321E"/>
    <w:rsid w:val="003B6CB7"/>
    <w:rsid w:val="003C0FDD"/>
    <w:rsid w:val="003D34E3"/>
    <w:rsid w:val="00565346"/>
    <w:rsid w:val="0061370D"/>
    <w:rsid w:val="008D0481"/>
    <w:rsid w:val="0093686D"/>
    <w:rsid w:val="00B04723"/>
    <w:rsid w:val="00BF0971"/>
    <w:rsid w:val="00C33356"/>
    <w:rsid w:val="00D97F6A"/>
    <w:rsid w:val="00DA66B3"/>
    <w:rsid w:val="00DC1330"/>
    <w:rsid w:val="00DF06EE"/>
    <w:rsid w:val="00ED17DD"/>
    <w:rsid w:val="00F60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ED17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ED17D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rsid w:val="00ED17DD"/>
    <w:rPr>
      <w:vertAlign w:val="superscript"/>
    </w:rPr>
  </w:style>
  <w:style w:type="character" w:styleId="a6">
    <w:name w:val="Hyperlink"/>
    <w:basedOn w:val="a0"/>
    <w:uiPriority w:val="99"/>
    <w:semiHidden/>
    <w:unhideWhenUsed/>
    <w:rsid w:val="00DA66B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ED17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ED17D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rsid w:val="00ED17DD"/>
    <w:rPr>
      <w:vertAlign w:val="superscript"/>
    </w:rPr>
  </w:style>
  <w:style w:type="character" w:styleId="a6">
    <w:name w:val="Hyperlink"/>
    <w:basedOn w:val="a0"/>
    <w:uiPriority w:val="99"/>
    <w:semiHidden/>
    <w:unhideWhenUsed/>
    <w:rsid w:val="00DA66B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71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0B7B4E-5738-4E98-8318-39B571946E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1274</Words>
  <Characters>7262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</dc:creator>
  <cp:lastModifiedBy>Fadeeva</cp:lastModifiedBy>
  <cp:revision>3</cp:revision>
  <dcterms:created xsi:type="dcterms:W3CDTF">2017-09-04T13:45:00Z</dcterms:created>
  <dcterms:modified xsi:type="dcterms:W3CDTF">2017-09-04T13:47:00Z</dcterms:modified>
</cp:coreProperties>
</file>