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7" w:rsidRDefault="00BC6357" w:rsidP="00BC6357">
      <w:pPr>
        <w:jc w:val="right"/>
      </w:pPr>
      <w:r>
        <w:t>Сергеев Егор Александрович</w:t>
      </w:r>
    </w:p>
    <w:p w:rsidR="00BC6357" w:rsidRDefault="00BC6357" w:rsidP="00BC6357">
      <w:pPr>
        <w:jc w:val="right"/>
      </w:pPr>
      <w: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BC6357" w:rsidRDefault="00803F18" w:rsidP="00051C18">
      <w:pPr>
        <w:jc w:val="right"/>
      </w:pPr>
      <w:r>
        <w:t>преподаватель</w:t>
      </w:r>
      <w:r w:rsidR="00BC6357">
        <w:t xml:space="preserve"> кафедры мировой экономики</w:t>
      </w:r>
    </w:p>
    <w:p w:rsidR="00BC6357" w:rsidRPr="00DC28E9" w:rsidRDefault="00DD6C8A" w:rsidP="00BC6357">
      <w:pPr>
        <w:jc w:val="right"/>
      </w:pPr>
      <w:hyperlink r:id="rId7" w:history="1">
        <w:r w:rsidR="00BC6357" w:rsidRPr="001A4569">
          <w:rPr>
            <w:rStyle w:val="a3"/>
            <w:lang w:val="en-US"/>
          </w:rPr>
          <w:t>sergeev</w:t>
        </w:r>
        <w:r w:rsidR="00BC6357" w:rsidRPr="00DC28E9">
          <w:rPr>
            <w:rStyle w:val="a3"/>
          </w:rPr>
          <w:t>-</w:t>
        </w:r>
        <w:r w:rsidR="00BC6357" w:rsidRPr="001A4569">
          <w:rPr>
            <w:rStyle w:val="a3"/>
            <w:lang w:val="en-US"/>
          </w:rPr>
          <w:t>ea</w:t>
        </w:r>
        <w:r w:rsidR="00BC6357" w:rsidRPr="00DC28E9">
          <w:rPr>
            <w:rStyle w:val="a3"/>
          </w:rPr>
          <w:t>@</w:t>
        </w:r>
        <w:r w:rsidR="00BC6357" w:rsidRPr="001A4569">
          <w:rPr>
            <w:rStyle w:val="a3"/>
            <w:lang w:val="en-US"/>
          </w:rPr>
          <w:t>yandex</w:t>
        </w:r>
        <w:r w:rsidR="00BC6357" w:rsidRPr="00DC28E9">
          <w:rPr>
            <w:rStyle w:val="a3"/>
          </w:rPr>
          <w:t>.</w:t>
        </w:r>
        <w:r w:rsidR="00BC6357" w:rsidRPr="001A4569">
          <w:rPr>
            <w:rStyle w:val="a3"/>
            <w:lang w:val="en-US"/>
          </w:rPr>
          <w:t>ru</w:t>
        </w:r>
      </w:hyperlink>
    </w:p>
    <w:p w:rsidR="00BC6357" w:rsidRDefault="00BC6357" w:rsidP="00BC6357">
      <w:pPr>
        <w:jc w:val="center"/>
      </w:pPr>
    </w:p>
    <w:p w:rsidR="006D4076" w:rsidRPr="004D2094" w:rsidRDefault="00BC6357" w:rsidP="00BC6357">
      <w:pPr>
        <w:jc w:val="center"/>
        <w:rPr>
          <w:b/>
        </w:rPr>
      </w:pPr>
      <w:r w:rsidRPr="004D2094">
        <w:rPr>
          <w:b/>
        </w:rPr>
        <w:t>Административно-территориальное устройство, фискальный федерализм и экон</w:t>
      </w:r>
      <w:r w:rsidR="004D2094">
        <w:rPr>
          <w:b/>
        </w:rPr>
        <w:t>омическое развитие в странах ЕС</w:t>
      </w:r>
    </w:p>
    <w:p w:rsidR="00BC6357" w:rsidRDefault="00BC6357" w:rsidP="00BC6357"/>
    <w:p w:rsidR="00417525" w:rsidRDefault="00417525" w:rsidP="00BC6357">
      <w:r>
        <w:t xml:space="preserve">В современных дискуссиях о </w:t>
      </w:r>
      <w:r w:rsidR="00692A76">
        <w:t xml:space="preserve">структуре и наборе мер </w:t>
      </w:r>
      <w:r>
        <w:t xml:space="preserve">макроэкономической </w:t>
      </w:r>
      <w:r w:rsidR="00692A76">
        <w:t xml:space="preserve">политики достаточно важное место занимает </w:t>
      </w:r>
      <w:r w:rsidR="00B7373C">
        <w:t>проблема</w:t>
      </w:r>
      <w:r w:rsidR="004502ED">
        <w:t xml:space="preserve"> фискального федерализма</w:t>
      </w:r>
      <w:r w:rsidR="000C3E0D">
        <w:t xml:space="preserve"> или </w:t>
      </w:r>
      <w:r w:rsidR="00215170">
        <w:t xml:space="preserve">способа </w:t>
      </w:r>
      <w:r w:rsidR="000C3E0D">
        <w:t>распределения налогово-бюджетных полномочий между различными уровнями власти (цен</w:t>
      </w:r>
      <w:r w:rsidR="008C1395">
        <w:t xml:space="preserve">тральный-региональный-местный). Учитывая широкий спектр вариантов административно-территориального деления в странах ЕС (а соответственно и степени (де)централизации налогово-бюджетных полномочий), вопрос соотношения административно-территориального устройства как внеэкономического фактора, фискального федерализма и экономического развития представляется весьма актуальным. К тому же в условиях существования </w:t>
      </w:r>
      <w:r w:rsidR="00B7373C">
        <w:t xml:space="preserve">экономического и валютного союза, когда в руках </w:t>
      </w:r>
      <w:r w:rsidR="00215170">
        <w:t>государств-членов зоны евро остаю</w:t>
      </w:r>
      <w:r w:rsidR="00B7373C">
        <w:t xml:space="preserve">тся только </w:t>
      </w:r>
      <w:r w:rsidR="00215170">
        <w:t xml:space="preserve">налогово-бюджетные инструменты, </w:t>
      </w:r>
      <w:r w:rsidR="004D2094">
        <w:t>вопрос наиболее оптимального распределения фискальных полномочий становится еще более актуальным.</w:t>
      </w:r>
    </w:p>
    <w:p w:rsidR="004D2094" w:rsidRDefault="004D2094" w:rsidP="00BC6357">
      <w:r>
        <w:t xml:space="preserve">В экономической науке не существует идеальной формулы распределения налогово-бюджетных полномочий между правительствами </w:t>
      </w:r>
      <w:r w:rsidR="005F5CCE">
        <w:t>различных уровней, равно</w:t>
      </w:r>
      <w:r>
        <w:t xml:space="preserve"> как и однозначных доказательств </w:t>
      </w:r>
      <w:r w:rsidR="005F5CCE">
        <w:t xml:space="preserve">положительного или отрицательного </w:t>
      </w:r>
      <w:r>
        <w:t xml:space="preserve">влияния </w:t>
      </w:r>
      <w:r w:rsidR="005F5CCE">
        <w:t xml:space="preserve">различных видов </w:t>
      </w:r>
      <w:r>
        <w:t xml:space="preserve">фискального федерализма на экономическое развитие. </w:t>
      </w:r>
      <w:r w:rsidR="005F5CCE">
        <w:t xml:space="preserve">Таким образом, исследование фискального федерализма несет эмпирический характер, ведь, как справедливо отметил один из классиков </w:t>
      </w:r>
      <w:r w:rsidR="007620AA">
        <w:t xml:space="preserve">фискального федерализма В. Оатс, результат </w:t>
      </w:r>
      <w:r w:rsidR="007620AA">
        <w:lastRenderedPageBreak/>
        <w:t xml:space="preserve">централизации или децентрализации налогово-бюджетных полномочий зависит </w:t>
      </w:r>
      <w:r w:rsidR="00BB39EF">
        <w:t>от конкретных обстоятельств.</w:t>
      </w:r>
      <w:r w:rsidR="00BB39EF">
        <w:rPr>
          <w:rStyle w:val="a6"/>
        </w:rPr>
        <w:footnoteReference w:id="1"/>
      </w:r>
      <w:r w:rsidR="00B922B9">
        <w:t>Тем не менее</w:t>
      </w:r>
      <w:r>
        <w:t xml:space="preserve">, существует ряд </w:t>
      </w:r>
      <w:r w:rsidR="00B922B9">
        <w:t xml:space="preserve">теоретических разработок, </w:t>
      </w:r>
      <w:r w:rsidR="001A0F15">
        <w:t>объясняющих возм</w:t>
      </w:r>
      <w:r w:rsidR="00803F18">
        <w:t xml:space="preserve">ожные последствия тех или иных мер в области распределения и/или перераспределения налогово-бюджетных полномочий. </w:t>
      </w:r>
      <w:r w:rsidR="001A0F15">
        <w:t xml:space="preserve">С одной стороны, гранты и трансферты центрального правительства могут иметь стабилизирующую функцию, однако с другой стороны способны вызывать т.н. «эффект липучки», при котором местные (региональные) правительства, полагаясь на трансферты, увеличивают свои расходы, не повышая налоги. </w:t>
      </w:r>
      <w:r w:rsidR="006F1E06">
        <w:t>Также ряд исследователей, среди которых Дж. Бреннан и Дж. Бьюкенен рассматривают децентрализацию фискальных полномочий как положительное явление, при котором повышается подотчетность и открытость центрального правительства, а субнациональные правительства вынуждены вести здравую и сбалансированную налогово-бюджетную политику, опасаясь бегства мобильных экономических агентов в другие налоговые юрисдикции.</w:t>
      </w:r>
      <w:r w:rsidR="00A527B7">
        <w:rPr>
          <w:rStyle w:val="a6"/>
        </w:rPr>
        <w:footnoteReference w:id="2"/>
      </w:r>
      <w:r w:rsidR="0041612D">
        <w:t xml:space="preserve">Но существуют и отрицательные стороны фискальной децентрализации, поскольку субнациональная налогово-бюджетная политика может попасть под влияние местных и региональных лобби, что перемещает проблематику фискального федерализма в политэкономическую область. </w:t>
      </w:r>
      <w:r w:rsidR="00A527B7">
        <w:t xml:space="preserve">Исследования ОЭСР доказывают, что </w:t>
      </w:r>
      <w:r w:rsidR="008967ED">
        <w:t>политэкономические факторы оказывают огромное влияние на любые налогово-бюджетные реформы, в том числе на фискальную (де)централизацию.</w:t>
      </w:r>
      <w:r w:rsidR="008967ED">
        <w:rPr>
          <w:rStyle w:val="a6"/>
        </w:rPr>
        <w:footnoteReference w:id="3"/>
      </w:r>
      <w:r w:rsidR="00907044">
        <w:t xml:space="preserve">Существуют разработки, описывающие наиболее оптимальное распределение налогово-бюджетных полномочий. </w:t>
      </w:r>
      <w:r w:rsidR="00907044" w:rsidRPr="00907044">
        <w:t xml:space="preserve">С точки зрения </w:t>
      </w:r>
      <w:r w:rsidR="00907044">
        <w:t xml:space="preserve">П. </w:t>
      </w:r>
      <w:r w:rsidR="00907044" w:rsidRPr="00907044">
        <w:t xml:space="preserve">ван Паряйса, идеальной формулой было бы наиболее </w:t>
      </w:r>
      <w:r w:rsidR="00907044" w:rsidRPr="00907044">
        <w:lastRenderedPageBreak/>
        <w:t>централизованный сбор налогов и распределение не по личному выбору региона, а по их «нормам», которые можно было бы рассчитывать.</w:t>
      </w:r>
      <w:r w:rsidR="00907044">
        <w:rPr>
          <w:rStyle w:val="a6"/>
        </w:rPr>
        <w:footnoteReference w:id="4"/>
      </w:r>
      <w:r w:rsidR="007369B3">
        <w:t>Однако, воплощение такого варианта на практике может осложняться различными факторами.</w:t>
      </w:r>
    </w:p>
    <w:p w:rsidR="007369B3" w:rsidRPr="005F5CCE" w:rsidRDefault="007369B3" w:rsidP="00BC6357">
      <w:r>
        <w:t xml:space="preserve">В такой ситуации интересным представляется рассмотреть, насколько современное административно-территориальное деление в странах ЕС, приводящее к установлению того или иного варианта фискального федерализма, во-первых, </w:t>
      </w:r>
      <w:r w:rsidR="00AE3282">
        <w:t>соответствует</w:t>
      </w:r>
      <w:r>
        <w:t xml:space="preserve"> теоретическим разработкам, а во-вторых, </w:t>
      </w:r>
      <w:r w:rsidR="00AE3282">
        <w:t>способно оказывать влияние на экономическое развитие данных стран.</w:t>
      </w:r>
      <w:bookmarkStart w:id="0" w:name="_GoBack"/>
      <w:bookmarkEnd w:id="0"/>
    </w:p>
    <w:sectPr w:rsidR="007369B3" w:rsidRPr="005F5CCE" w:rsidSect="001E1F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4F" w:rsidRDefault="00152D4F" w:rsidP="00BB39EF">
      <w:pPr>
        <w:spacing w:after="0" w:line="240" w:lineRule="auto"/>
      </w:pPr>
      <w:r>
        <w:separator/>
      </w:r>
    </w:p>
  </w:endnote>
  <w:endnote w:type="continuationSeparator" w:id="0">
    <w:p w:rsidR="00152D4F" w:rsidRDefault="00152D4F" w:rsidP="00BB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4F" w:rsidRDefault="00152D4F" w:rsidP="00BB39EF">
      <w:pPr>
        <w:spacing w:after="0" w:line="240" w:lineRule="auto"/>
      </w:pPr>
      <w:r>
        <w:separator/>
      </w:r>
    </w:p>
  </w:footnote>
  <w:footnote w:type="continuationSeparator" w:id="0">
    <w:p w:rsidR="00152D4F" w:rsidRDefault="00152D4F" w:rsidP="00BB39EF">
      <w:pPr>
        <w:spacing w:after="0" w:line="240" w:lineRule="auto"/>
      </w:pPr>
      <w:r>
        <w:continuationSeparator/>
      </w:r>
    </w:p>
  </w:footnote>
  <w:footnote w:id="1">
    <w:p w:rsidR="00BB39EF" w:rsidRPr="00BB39EF" w:rsidRDefault="00BB39EF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>OatesW</w:t>
      </w:r>
      <w:r w:rsidRPr="00816F98">
        <w:rPr>
          <w:lang w:val="en-US"/>
        </w:rPr>
        <w:t xml:space="preserve">. </w:t>
      </w:r>
      <w:r>
        <w:rPr>
          <w:lang w:val="en-US"/>
        </w:rPr>
        <w:t>AnEssayonFiscalFederalism</w:t>
      </w:r>
      <w:r w:rsidRPr="00816F98">
        <w:rPr>
          <w:lang w:val="en-US"/>
        </w:rPr>
        <w:t xml:space="preserve"> / </w:t>
      </w:r>
      <w:r>
        <w:rPr>
          <w:lang w:val="en-US"/>
        </w:rPr>
        <w:t>M</w:t>
      </w:r>
      <w:r w:rsidRPr="00816F98">
        <w:rPr>
          <w:lang w:val="en-US"/>
        </w:rPr>
        <w:t xml:space="preserve">. </w:t>
      </w:r>
      <w:r>
        <w:rPr>
          <w:lang w:val="en-US"/>
        </w:rPr>
        <w:t>Baimbridge, P. Whyman // Fiscal Federalism and European Economic Integration. – London, New York: Routledge, 2004. – р. 36.</w:t>
      </w:r>
    </w:p>
  </w:footnote>
  <w:footnote w:id="2">
    <w:p w:rsidR="00A527B7" w:rsidRPr="00A527B7" w:rsidRDefault="00A527B7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Brennan G. The Power to Tax: Analytical Foundations of a Fiscal Constitution [Electronic resource] / G. Brennan, J. Buchanan. – Indianapolis: Liberty Fund, 2000. – Mode of access: </w:t>
      </w:r>
      <w:r w:rsidRPr="00A20217">
        <w:rPr>
          <w:lang w:val="en-US"/>
        </w:rPr>
        <w:t>http://oll.libertyfund.org/titles/buchanan-the-collected-works-of-james-m-buchanan-vol-9-the-power-to-tax</w:t>
      </w:r>
      <w:r>
        <w:rPr>
          <w:lang w:val="en-US"/>
        </w:rPr>
        <w:t xml:space="preserve"> (Application date: 21.08.2017)</w:t>
      </w:r>
    </w:p>
  </w:footnote>
  <w:footnote w:id="3">
    <w:p w:rsidR="008967ED" w:rsidRPr="008967ED" w:rsidRDefault="008967ED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Tax Policy Reform and Economic Growth [Electronic resource] // OECD, 03.11.2010 – Mode of access: </w:t>
      </w:r>
      <w:r w:rsidRPr="007C7BDE">
        <w:rPr>
          <w:lang w:val="en-US"/>
        </w:rPr>
        <w:t>http://www.oecd-ilibrary.org/taxation/tax-policy-reform-and-economic-growth_9789264091085-en</w:t>
      </w:r>
      <w:r>
        <w:rPr>
          <w:lang w:val="en-US"/>
        </w:rPr>
        <w:t xml:space="preserve"> (Application date: 21.08.2017)</w:t>
      </w:r>
    </w:p>
  </w:footnote>
  <w:footnote w:id="4">
    <w:p w:rsidR="00907044" w:rsidRPr="00907044" w:rsidRDefault="00907044">
      <w:pPr>
        <w:pStyle w:val="a4"/>
        <w:rPr>
          <w:lang w:val="en-US"/>
        </w:rPr>
      </w:pPr>
      <w:r>
        <w:rPr>
          <w:rStyle w:val="a6"/>
        </w:rPr>
        <w:footnoteRef/>
      </w:r>
      <w:r w:rsidRPr="00907044">
        <w:rPr>
          <w:lang w:val="en-US"/>
        </w:rPr>
        <w:t xml:space="preserve"> Van Parijs P. Fiscal Federalism and Solidarity: In Search of an Ideal Formula / J.-F. Grégoire, M. Jewkes (editors) // Recognition and Redistribution in Multinational States. – Leuven: Leuven University Press, 2015. – pp. 183-191.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357"/>
    <w:rsid w:val="00051C18"/>
    <w:rsid w:val="000C3E0D"/>
    <w:rsid w:val="00152D4F"/>
    <w:rsid w:val="001A0F15"/>
    <w:rsid w:val="001E1F4A"/>
    <w:rsid w:val="001E7DC8"/>
    <w:rsid w:val="00215170"/>
    <w:rsid w:val="00232876"/>
    <w:rsid w:val="00335E00"/>
    <w:rsid w:val="0041612D"/>
    <w:rsid w:val="00417525"/>
    <w:rsid w:val="004502ED"/>
    <w:rsid w:val="004D2094"/>
    <w:rsid w:val="00555AC5"/>
    <w:rsid w:val="005F5CCE"/>
    <w:rsid w:val="00692A76"/>
    <w:rsid w:val="006D4076"/>
    <w:rsid w:val="006F1E06"/>
    <w:rsid w:val="00723E00"/>
    <w:rsid w:val="007369B3"/>
    <w:rsid w:val="007620AA"/>
    <w:rsid w:val="00803F18"/>
    <w:rsid w:val="008967ED"/>
    <w:rsid w:val="008C1395"/>
    <w:rsid w:val="00907044"/>
    <w:rsid w:val="00A527B7"/>
    <w:rsid w:val="00AA6581"/>
    <w:rsid w:val="00AE3282"/>
    <w:rsid w:val="00B7373C"/>
    <w:rsid w:val="00B922B9"/>
    <w:rsid w:val="00BB39EF"/>
    <w:rsid w:val="00BC6357"/>
    <w:rsid w:val="00D40DC0"/>
    <w:rsid w:val="00DD6C8A"/>
    <w:rsid w:val="00E1480C"/>
    <w:rsid w:val="00F41A32"/>
    <w:rsid w:val="00F6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7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35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B39EF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B39EF"/>
    <w:rPr>
      <w:rFonts w:ascii="Times New Roman" w:hAnsi="Times New Roman"/>
    </w:rPr>
  </w:style>
  <w:style w:type="character" w:styleId="a6">
    <w:name w:val="footnote reference"/>
    <w:basedOn w:val="a0"/>
    <w:uiPriority w:val="99"/>
    <w:unhideWhenUsed/>
    <w:rsid w:val="00BB39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eev-e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9593DC-4586-491D-AA0D-8ADAE47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Сергеев</dc:creator>
  <cp:lastModifiedBy>silaeva_v_a</cp:lastModifiedBy>
  <cp:revision>5</cp:revision>
  <dcterms:created xsi:type="dcterms:W3CDTF">2017-09-16T18:24:00Z</dcterms:created>
  <dcterms:modified xsi:type="dcterms:W3CDTF">2017-09-18T13:22:00Z</dcterms:modified>
</cp:coreProperties>
</file>