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18" w:rsidRDefault="00984A18" w:rsidP="00BA7584">
      <w:pPr>
        <w:tabs>
          <w:tab w:val="left" w:pos="1515"/>
        </w:tabs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  <w:r w:rsidRPr="001C1D2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А.М. Авдонина, кандидат биологических наук, </w:t>
      </w:r>
      <w:r w:rsidR="00B71340" w:rsidRPr="001C1D25">
        <w:rPr>
          <w:rFonts w:ascii="Arial" w:hAnsi="Arial" w:cs="Arial"/>
          <w:color w:val="222222"/>
          <w:sz w:val="24"/>
          <w:szCs w:val="24"/>
          <w:shd w:val="clear" w:color="auto" w:fill="FFFFFF"/>
        </w:rPr>
        <w:t>доцент кафедры экономики</w:t>
      </w:r>
      <w:r w:rsidRPr="001C1D25">
        <w:rPr>
          <w:rFonts w:ascii="Arial" w:hAnsi="Arial" w:cs="Arial"/>
          <w:color w:val="222222"/>
          <w:sz w:val="24"/>
          <w:szCs w:val="24"/>
          <w:shd w:val="clear" w:color="auto" w:fill="FFFFFF"/>
        </w:rPr>
        <w:t>, РАНХиГС, Владимирский филиал, Россия</w:t>
      </w:r>
    </w:p>
    <w:p w:rsidR="00BA7584" w:rsidRPr="00B65FAA" w:rsidRDefault="00BA7584" w:rsidP="00BA7584">
      <w:pPr>
        <w:spacing w:after="0" w:line="240" w:lineRule="auto"/>
        <w:rPr>
          <w:rFonts w:ascii="Times New Roman" w:hAnsi="Times New Roman"/>
          <w:lang w:val="en-US"/>
        </w:rPr>
      </w:pPr>
      <w:r w:rsidRPr="00B65FAA">
        <w:rPr>
          <w:rFonts w:ascii="Times New Roman" w:hAnsi="Times New Roman"/>
          <w:sz w:val="28"/>
          <w:szCs w:val="28"/>
          <w:lang w:val="en-US"/>
        </w:rPr>
        <w:t>aam</w:t>
      </w:r>
      <w:r w:rsidRPr="00BA7584">
        <w:rPr>
          <w:rFonts w:ascii="Times New Roman" w:hAnsi="Times New Roman"/>
          <w:sz w:val="28"/>
          <w:szCs w:val="28"/>
          <w:lang w:val="en-US"/>
        </w:rPr>
        <w:t>-</w:t>
      </w:r>
      <w:r w:rsidRPr="00B65FAA">
        <w:rPr>
          <w:rFonts w:ascii="Times New Roman" w:hAnsi="Times New Roman"/>
          <w:sz w:val="28"/>
          <w:szCs w:val="28"/>
          <w:lang w:val="en-US"/>
        </w:rPr>
        <w:t>ecology@mail.ru</w:t>
      </w:r>
    </w:p>
    <w:p w:rsidR="00BA7584" w:rsidRPr="00BA7584" w:rsidRDefault="00BA7584" w:rsidP="00BA7584">
      <w:pPr>
        <w:tabs>
          <w:tab w:val="left" w:pos="1515"/>
        </w:tabs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</w:p>
    <w:p w:rsidR="00BA7584" w:rsidRDefault="00B71340" w:rsidP="00BA7584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</w:pPr>
      <w:r w:rsidRPr="001C1D2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Alexandra</w:t>
      </w:r>
      <w:r w:rsidRPr="00BA7584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1C1D2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M</w:t>
      </w:r>
      <w:r w:rsidRPr="00BA7584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. </w:t>
      </w:r>
      <w:r w:rsidRPr="001C1D2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Avdonina</w:t>
      </w:r>
      <w:r w:rsidRPr="00BA7584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, </w:t>
      </w:r>
      <w:r w:rsidR="00F519D0" w:rsidRPr="001C1D2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Ph</w:t>
      </w:r>
      <w:r w:rsidR="00F519D0" w:rsidRPr="00BA7584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.</w:t>
      </w:r>
      <w:r w:rsidR="00F519D0" w:rsidRPr="001C1D2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D</w:t>
      </w:r>
      <w:r w:rsidR="00F519D0" w:rsidRPr="00BA7584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. (</w:t>
      </w:r>
      <w:r w:rsidR="00F519D0" w:rsidRPr="001C1D2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Biology</w:t>
      </w:r>
      <w:r w:rsidR="00F519D0" w:rsidRPr="00BA7584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), </w:t>
      </w:r>
      <w:r w:rsidR="00F519D0" w:rsidRPr="001C1D2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A</w:t>
      </w:r>
      <w:r w:rsidRPr="001C1D2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ssociate</w:t>
      </w:r>
      <w:r w:rsidRPr="00BA7584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1C1D2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Professor</w:t>
      </w:r>
      <w:r w:rsidRPr="00BA7584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1C1D2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of</w:t>
      </w:r>
      <w:r w:rsidRPr="00BA7584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1C1D2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Economics</w:t>
      </w:r>
      <w:r w:rsidRPr="00BA7584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, </w:t>
      </w:r>
      <w:r w:rsidRPr="001C1D2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Russian</w:t>
      </w:r>
      <w:r w:rsidRPr="00BA7584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1C1D2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Presidential</w:t>
      </w:r>
      <w:r w:rsidRPr="00BA7584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1C1D2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Academy</w:t>
      </w:r>
      <w:r w:rsidRPr="00BA7584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1C1D2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of</w:t>
      </w:r>
      <w:r w:rsidRPr="00BA7584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1C1D2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National</w:t>
      </w:r>
      <w:r w:rsidRPr="00BA7584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1C1D2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Economy</w:t>
      </w:r>
      <w:r w:rsidRPr="00BA7584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1C1D2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and</w:t>
      </w:r>
      <w:r w:rsidRPr="00BA7584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1C1D2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Public</w:t>
      </w:r>
      <w:r w:rsidRPr="00BA7584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1C1D2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Administration</w:t>
      </w:r>
      <w:r w:rsidRPr="00BA7584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, </w:t>
      </w:r>
      <w:r w:rsidRPr="001C1D2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Vladimir</w:t>
      </w:r>
      <w:r w:rsidRPr="00BA7584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1C1D2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Branch</w:t>
      </w:r>
      <w:r w:rsidRPr="00BA7584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, </w:t>
      </w:r>
      <w:r w:rsidRPr="001C1D25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Russia</w:t>
      </w:r>
    </w:p>
    <w:p w:rsidR="00BA7584" w:rsidRDefault="00BA7584" w:rsidP="00BA7584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</w:pPr>
    </w:p>
    <w:p w:rsidR="00BA7584" w:rsidRPr="001C1D25" w:rsidRDefault="00BA7584" w:rsidP="00BA7584">
      <w:pPr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1C1D25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Механизмы участия общественности в деятельности органов власти в процессе принятия решений по вопросам, касающимся окружающей среды</w:t>
      </w:r>
    </w:p>
    <w:p w:rsidR="009D3211" w:rsidRPr="00BA7584" w:rsidRDefault="00984A18" w:rsidP="00BA7584">
      <w:pPr>
        <w:tabs>
          <w:tab w:val="left" w:pos="1515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Аннотация:</w:t>
      </w:r>
      <w:r w:rsidR="009D3211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статье рассмотрены такие механизмы участия общественности в деятельности органов власти по вопросам, касающимся окружающей среды, как формирование общественных советов, создание института общественных инспекторов, а также интерактивные проекты</w:t>
      </w:r>
      <w:r w:rsidR="001C1D25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r w:rsidR="009D3211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«Российская общественная инициатива» и «Генеральная уборка/Интерактивная карта свалок».</w:t>
      </w:r>
    </w:p>
    <w:p w:rsidR="00F519D0" w:rsidRPr="00BA7584" w:rsidRDefault="00F519D0" w:rsidP="00BA7584">
      <w:pPr>
        <w:tabs>
          <w:tab w:val="left" w:pos="1515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Abstract:</w:t>
      </w:r>
      <w:r w:rsidR="009D3211" w:rsidRPr="00BA75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3211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The mechanisms of public participation in the authority activities relating to the environment (public councils, the establishment of an </w:t>
      </w:r>
      <w:r w:rsidR="001C1D25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i</w:t>
      </w:r>
      <w:r w:rsidR="009D3211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nstitute of public inspectors, interactive projects such as "Russian public initiative" and "General cleaning/Interactive map") are considered in the article.</w:t>
      </w:r>
    </w:p>
    <w:p w:rsidR="00984A18" w:rsidRPr="00BA7584" w:rsidRDefault="00984A18" w:rsidP="00BA7584">
      <w:pPr>
        <w:tabs>
          <w:tab w:val="left" w:pos="1515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Ключевые слова: общественное участие, общественный </w:t>
      </w:r>
      <w:r w:rsidR="003F257B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контроль</w:t>
      </w:r>
      <w:r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3F257B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окружающая среда, взаимодействие граждан и органов власти</w:t>
      </w:r>
      <w:r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F519D0" w:rsidRPr="00BA7584" w:rsidRDefault="00F519D0" w:rsidP="00BA7584">
      <w:pPr>
        <w:tabs>
          <w:tab w:val="left" w:pos="1515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Keywords:</w:t>
      </w:r>
      <w:r w:rsidR="003F257B" w:rsidRPr="00BA75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F257B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public participation, public control, environment, the interaction of citizens and authorities</w:t>
      </w:r>
      <w:r w:rsidR="001C1D25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.</w:t>
      </w:r>
    </w:p>
    <w:p w:rsidR="00984A18" w:rsidRPr="00BA7584" w:rsidRDefault="00436ACC" w:rsidP="00BA758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Одним из</w:t>
      </w:r>
      <w:r w:rsidR="00984A18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основных принципов охраны окружающей среды, изложенных в Федеральном законе от 10.01.2002 N 7-ФЗ (ред. от 29.07.2017) "Об охране окружающей среды"</w:t>
      </w:r>
      <w:r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является </w:t>
      </w:r>
      <w:r w:rsidR="00827381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r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участие граждан, общественных объединений и некоммерческих организаций в решении задач охраны окружающей среды</w:t>
      </w:r>
      <w:r w:rsidR="00827381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="00827381" w:rsidRPr="00BA7584">
        <w:rPr>
          <w:rFonts w:ascii="Times New Roman" w:hAnsi="Times New Roman" w:cs="Times New Roman"/>
          <w:sz w:val="28"/>
          <w:szCs w:val="28"/>
        </w:rPr>
        <w:t xml:space="preserve"> </w:t>
      </w:r>
      <w:r w:rsidR="003F257B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[3</w:t>
      </w:r>
      <w:r w:rsidR="00827381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].</w:t>
      </w:r>
    </w:p>
    <w:p w:rsidR="00827381" w:rsidRPr="00BA7584" w:rsidRDefault="00827381" w:rsidP="00BA758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Общественное участие (англ. public participation) рассматривается как «</w:t>
      </w:r>
      <w:r w:rsidR="00852426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непрерывный двунаправленный процесс взаимодействия между гражданами и органом власти (учреждением, ведомством), отвечающим за принятие решения</w:t>
      </w:r>
      <w:r w:rsidR="003F257B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="00852426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[</w:t>
      </w:r>
      <w:r w:rsidR="003F257B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6</w:t>
      </w:r>
      <w:r w:rsidR="00852426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].</w:t>
      </w:r>
    </w:p>
    <w:p w:rsidR="00DA1C2D" w:rsidRPr="00BA7584" w:rsidRDefault="00DA1C2D" w:rsidP="00BA758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Принцип общественного участия получил </w:t>
      </w:r>
      <w:r w:rsidR="001C1D25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широкое </w:t>
      </w:r>
      <w:r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развитие в демократической модели государственного управления, отличающейся </w:t>
      </w:r>
      <w:r w:rsidR="00A94E8D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высокой </w:t>
      </w:r>
      <w:r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степенью участия масс </w:t>
      </w:r>
      <w:r w:rsidR="00DA4DD0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</w:t>
      </w:r>
      <w:r w:rsidR="00A94E8D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принятии решений</w:t>
      </w:r>
      <w:r w:rsidR="00DA4DD0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:rsidR="00827381" w:rsidRPr="00BA7584" w:rsidRDefault="00827381" w:rsidP="00BA758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Согласно Орхусской Конвенции «О доступе к экологической информации, участии общественности в процессе принятия решений и доступе к правосудию по вопросам,</w:t>
      </w:r>
      <w:r w:rsidR="003F257B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касающимся окружающей среды» [1</w:t>
      </w:r>
      <w:r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]</w:t>
      </w:r>
      <w:r w:rsidR="00DA1C2D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которая на данный момент подписана, но не ратифицирована РФ, </w:t>
      </w:r>
      <w:r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выделяются три аспекта общественного участия</w:t>
      </w:r>
      <w:r w:rsidR="00DA1C2D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этой сфере</w:t>
      </w:r>
      <w:r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</w:p>
    <w:p w:rsidR="00827381" w:rsidRPr="00BA7584" w:rsidRDefault="00827381" w:rsidP="00BA7584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право на доступ к информации</w:t>
      </w:r>
    </w:p>
    <w:p w:rsidR="00827381" w:rsidRPr="00BA7584" w:rsidRDefault="00DA1C2D" w:rsidP="00BA7584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право участвовать в принятии решений</w:t>
      </w:r>
    </w:p>
    <w:p w:rsidR="00827381" w:rsidRPr="00BA7584" w:rsidRDefault="00DA1C2D" w:rsidP="00BA7584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право на доступ к правосудию</w:t>
      </w:r>
      <w:r w:rsidR="00DA4DD0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[</w:t>
      </w:r>
      <w:r w:rsidR="001C1D25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</w:t>
      </w:r>
      <w:r w:rsidR="00DA4DD0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].</w:t>
      </w:r>
    </w:p>
    <w:p w:rsidR="00123CBF" w:rsidRPr="00BA7584" w:rsidRDefault="00852426" w:rsidP="00BA758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Подходы к </w:t>
      </w:r>
      <w:r w:rsidR="00123CBF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выделению</w:t>
      </w:r>
      <w:r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форм общественного участия различны. </w:t>
      </w:r>
      <w:r w:rsidR="00123CBF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Одна из наиболее подробных классификаций изложена в работе </w:t>
      </w:r>
      <w:r w:rsidR="00DA4DD0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Е. А. Коваленко и соавторов</w:t>
      </w:r>
      <w:r w:rsidR="003F257B" w:rsidRPr="00BA7584">
        <w:rPr>
          <w:rStyle w:val="aa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footnoteReference w:id="2"/>
      </w:r>
      <w:r w:rsidR="00DA4DD0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="00123CBF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Широкий охват форм социального партнерства и межсекторного взаимодействия позволил им выделить следующие виды механизмов и форм</w:t>
      </w:r>
      <w:r w:rsidR="00DA4DD0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каждая из которых находит свои примеры в экологической сфере:</w:t>
      </w:r>
    </w:p>
    <w:p w:rsidR="00123CBF" w:rsidRPr="00BA7584" w:rsidRDefault="00123CBF" w:rsidP="00BA758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• конкурсные (экологические гранты, конкурсы и т.п.);</w:t>
      </w:r>
    </w:p>
    <w:p w:rsidR="00123CBF" w:rsidRPr="00BA7584" w:rsidRDefault="00123CBF" w:rsidP="00BA758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• социально-технологические (общественная экологическая экспертиза, гражданские действия по защите окружающей среды в форме судебных исков и т.п.)</w:t>
      </w:r>
    </w:p>
    <w:p w:rsidR="00123CBF" w:rsidRPr="00BA7584" w:rsidRDefault="00123CBF" w:rsidP="00BA758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• организационно-структурные (экологические</w:t>
      </w:r>
      <w:r w:rsidR="00E33B06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центры и объединения и т.п.)</w:t>
      </w:r>
      <w:r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</w:t>
      </w:r>
    </w:p>
    <w:p w:rsidR="00123CBF" w:rsidRPr="00BA7584" w:rsidRDefault="00123CBF" w:rsidP="00BA758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• процедурные</w:t>
      </w:r>
      <w:r w:rsidR="00E33B06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(Общественные п</w:t>
      </w:r>
      <w:r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алаты, общественные </w:t>
      </w:r>
      <w:r w:rsidR="00E33B06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(публичные) </w:t>
      </w:r>
      <w:r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слушания и т.п.);</w:t>
      </w:r>
    </w:p>
    <w:p w:rsidR="00123CBF" w:rsidRPr="00BA7584" w:rsidRDefault="00123CBF" w:rsidP="00BA758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• комплексные или комбинированные механизмы</w:t>
      </w:r>
      <w:r w:rsidR="00E33B06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(ярмарки экологических проектов и др.)</w:t>
      </w:r>
      <w:r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827381" w:rsidRPr="00BA7584" w:rsidRDefault="00D17784" w:rsidP="00BA758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Среди других </w:t>
      </w:r>
      <w:r w:rsidR="001C1D25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форм </w:t>
      </w:r>
      <w:r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r w:rsidR="00827381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бщественный контроль является типо</w:t>
      </w:r>
      <w:r w:rsidR="00A94E8D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</w:t>
      </w:r>
      <w:r w:rsidR="00827381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гражданского участия, имеющ</w:t>
      </w:r>
      <w:r w:rsidR="00A94E8D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им</w:t>
      </w:r>
      <w:r w:rsidR="00827381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большую значимость для стабильного развития демократического общества.</w:t>
      </w:r>
    </w:p>
    <w:p w:rsidR="00D17784" w:rsidRPr="00BA7584" w:rsidRDefault="00D17784" w:rsidP="00BA758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Общественный контроль </w:t>
      </w:r>
      <w:r w:rsidR="00A94E8D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особенно</w:t>
      </w:r>
      <w:r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1C1D25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важен</w:t>
      </w:r>
      <w:r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для повышения </w:t>
      </w:r>
      <w:r w:rsidR="00A94E8D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транспарентности</w:t>
      </w:r>
      <w:r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деятельности органов власти, </w:t>
      </w:r>
      <w:r w:rsidR="00A94E8D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профилактики</w:t>
      </w:r>
      <w:r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коррупции, для </w:t>
      </w:r>
      <w:r w:rsidR="001152E4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повышения эффективности управленческих решений</w:t>
      </w:r>
      <w:r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436ACC" w:rsidRPr="00BA7584" w:rsidRDefault="00436ACC" w:rsidP="00BA758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 основании ст. 8 Федерального закона от 21 июля 2014 г. N 212-ФЗ "Об основах общественного контроля в Российской Федерации" </w:t>
      </w:r>
      <w:r w:rsidR="00827381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r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общественный контроль осуществляется в формах общественного мониторинга, общественной проверки, общественной экспертизы, в иных формах, не противоречащих настоящему Федеральному закону, а также в таких формах взаимодействия институтов гражданского общества с государственными органами и органами местного самоуправления, как общественные обсуждения, общественные (публичные) слушания и другие формы взаимодействия</w:t>
      </w:r>
      <w:r w:rsidR="00827381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 [</w:t>
      </w:r>
      <w:r w:rsidR="003F257B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</w:t>
      </w:r>
      <w:r w:rsidR="00827381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]</w:t>
      </w:r>
      <w:r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="00F519D0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r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бщественный контроль может осуществляться одновременно в нескольких формах.</w:t>
      </w:r>
    </w:p>
    <w:p w:rsidR="0074703E" w:rsidRPr="00BA7584" w:rsidRDefault="00F519D0" w:rsidP="00BA758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A7584">
        <w:rPr>
          <w:rFonts w:ascii="Times New Roman" w:hAnsi="Times New Roman" w:cs="Times New Roman"/>
          <w:sz w:val="28"/>
          <w:szCs w:val="28"/>
        </w:rPr>
        <w:t xml:space="preserve">Правовой основой общественного контроля в РФ являются федеральные законы «Об Общественной палате Российской Федерации», «О порядке рассмотрений обращений граждан Российской Федерации», «Об общих принципах организации местного самоуправления в Российской Федерации», а также указы Президента РФ «О порядке образования общественных советов при федеральных министерствах, федеральных службах и федеральных агентствах, руководство деятельностью которых осуществляет Президент Российской Федерации, при федеральных службах и федеральных агентствах, подведомственных этим федеральным министерствам», «Об общественных советах при МВД РФ и его территориальных подразделениях». </w:t>
      </w:r>
      <w:r w:rsidR="00CA3042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Основу взаимодействия </w:t>
      </w:r>
      <w:r w:rsidR="00D17784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органов власти</w:t>
      </w:r>
      <w:r w:rsidR="00CA3042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общественности </w:t>
      </w:r>
      <w:r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формирует</w:t>
      </w:r>
      <w:r w:rsidR="00CA3042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156A78"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система механизмов и пр</w:t>
      </w:r>
      <w:r w:rsidRPr="00BA75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инципов Открытого Правительства.</w:t>
      </w:r>
    </w:p>
    <w:sectPr w:rsidR="0074703E" w:rsidRPr="00BA7584" w:rsidSect="00F85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909" w:rsidRDefault="001A0909" w:rsidP="003F257B">
      <w:pPr>
        <w:spacing w:after="0" w:line="240" w:lineRule="auto"/>
      </w:pPr>
      <w:r>
        <w:separator/>
      </w:r>
    </w:p>
  </w:endnote>
  <w:endnote w:type="continuationSeparator" w:id="1">
    <w:p w:rsidR="001A0909" w:rsidRDefault="001A0909" w:rsidP="003F2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909" w:rsidRDefault="001A0909" w:rsidP="003F257B">
      <w:pPr>
        <w:spacing w:after="0" w:line="240" w:lineRule="auto"/>
      </w:pPr>
      <w:r>
        <w:separator/>
      </w:r>
    </w:p>
  </w:footnote>
  <w:footnote w:type="continuationSeparator" w:id="1">
    <w:p w:rsidR="001A0909" w:rsidRDefault="001A0909" w:rsidP="003F257B">
      <w:pPr>
        <w:spacing w:after="0" w:line="240" w:lineRule="auto"/>
      </w:pPr>
      <w:r>
        <w:continuationSeparator/>
      </w:r>
    </w:p>
  </w:footnote>
  <w:footnote w:id="2">
    <w:p w:rsidR="003F257B" w:rsidRPr="00BA7584" w:rsidRDefault="003F257B" w:rsidP="00BA7584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8502F"/>
    <w:multiLevelType w:val="hybridMultilevel"/>
    <w:tmpl w:val="D86E9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A18DF"/>
    <w:multiLevelType w:val="hybridMultilevel"/>
    <w:tmpl w:val="B56A5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73576"/>
    <w:multiLevelType w:val="hybridMultilevel"/>
    <w:tmpl w:val="59C09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D6574"/>
    <w:multiLevelType w:val="hybridMultilevel"/>
    <w:tmpl w:val="D4C04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849A0"/>
    <w:multiLevelType w:val="hybridMultilevel"/>
    <w:tmpl w:val="8B24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40843"/>
    <w:multiLevelType w:val="hybridMultilevel"/>
    <w:tmpl w:val="6BA65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6275B"/>
    <w:multiLevelType w:val="hybridMultilevel"/>
    <w:tmpl w:val="ED709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212F6"/>
    <w:multiLevelType w:val="hybridMultilevel"/>
    <w:tmpl w:val="2D128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03E"/>
    <w:rsid w:val="000D687A"/>
    <w:rsid w:val="001071C4"/>
    <w:rsid w:val="001152E4"/>
    <w:rsid w:val="00123CBF"/>
    <w:rsid w:val="00135B4C"/>
    <w:rsid w:val="00156A78"/>
    <w:rsid w:val="001A0909"/>
    <w:rsid w:val="001A6212"/>
    <w:rsid w:val="001C1D25"/>
    <w:rsid w:val="002100F8"/>
    <w:rsid w:val="00220706"/>
    <w:rsid w:val="00267B41"/>
    <w:rsid w:val="00271365"/>
    <w:rsid w:val="003F257B"/>
    <w:rsid w:val="00416C52"/>
    <w:rsid w:val="00420307"/>
    <w:rsid w:val="004346B7"/>
    <w:rsid w:val="00436ACC"/>
    <w:rsid w:val="004906F9"/>
    <w:rsid w:val="00580597"/>
    <w:rsid w:val="005D0659"/>
    <w:rsid w:val="006D44C7"/>
    <w:rsid w:val="0074703E"/>
    <w:rsid w:val="00827381"/>
    <w:rsid w:val="00841724"/>
    <w:rsid w:val="0084336B"/>
    <w:rsid w:val="00852426"/>
    <w:rsid w:val="00877515"/>
    <w:rsid w:val="0089224D"/>
    <w:rsid w:val="0089688F"/>
    <w:rsid w:val="00984A18"/>
    <w:rsid w:val="009B482D"/>
    <w:rsid w:val="009B58FF"/>
    <w:rsid w:val="009B5EE4"/>
    <w:rsid w:val="009D3211"/>
    <w:rsid w:val="00A94E8D"/>
    <w:rsid w:val="00AA2451"/>
    <w:rsid w:val="00B71340"/>
    <w:rsid w:val="00BA7584"/>
    <w:rsid w:val="00CA25BF"/>
    <w:rsid w:val="00CA3042"/>
    <w:rsid w:val="00CC3DE0"/>
    <w:rsid w:val="00D17784"/>
    <w:rsid w:val="00DA1C2D"/>
    <w:rsid w:val="00DA2019"/>
    <w:rsid w:val="00DA4DD0"/>
    <w:rsid w:val="00DD17D4"/>
    <w:rsid w:val="00E33B06"/>
    <w:rsid w:val="00E95DF6"/>
    <w:rsid w:val="00F519D0"/>
    <w:rsid w:val="00F8512E"/>
    <w:rsid w:val="00FD6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0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7381"/>
    <w:rPr>
      <w:color w:val="0000FF" w:themeColor="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3F257B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F257B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3F257B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3F257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F257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F25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0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7381"/>
    <w:rPr>
      <w:color w:val="0000FF" w:themeColor="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3F257B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F257B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3F257B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3F257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F257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F257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B5869-C52A-4C5A-AA78-D26381C67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Sidorova_Y_I</cp:lastModifiedBy>
  <cp:revision>2</cp:revision>
  <dcterms:created xsi:type="dcterms:W3CDTF">2017-09-07T16:10:00Z</dcterms:created>
  <dcterms:modified xsi:type="dcterms:W3CDTF">2017-09-07T16:10:00Z</dcterms:modified>
</cp:coreProperties>
</file>