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031" w:rsidRDefault="004F10D5" w:rsidP="00CB50F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50F9">
        <w:rPr>
          <w:rFonts w:ascii="Times New Roman" w:hAnsi="Times New Roman" w:cs="Times New Roman"/>
          <w:sz w:val="28"/>
          <w:szCs w:val="28"/>
        </w:rPr>
        <w:t>Приоритеты армянского лобби в США</w:t>
      </w:r>
    </w:p>
    <w:bookmarkEnd w:id="0"/>
    <w:p w:rsidR="00CB50F9" w:rsidRDefault="00CB50F9" w:rsidP="00CB5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0F9" w:rsidRPr="00CB50F9" w:rsidRDefault="00CB50F9" w:rsidP="00CB5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Тезисы. </w:t>
      </w:r>
    </w:p>
    <w:p w:rsidR="004F10D5" w:rsidRPr="00CB50F9" w:rsidRDefault="004F10D5" w:rsidP="00CB5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0D5" w:rsidRPr="00CB50F9" w:rsidRDefault="004F10D5" w:rsidP="00CB50F9">
      <w:pPr>
        <w:jc w:val="both"/>
        <w:rPr>
          <w:rFonts w:ascii="Times New Roman" w:hAnsi="Times New Roman" w:cs="Times New Roman"/>
          <w:sz w:val="28"/>
          <w:szCs w:val="28"/>
        </w:rPr>
      </w:pPr>
      <w:r w:rsidRPr="00CB50F9">
        <w:rPr>
          <w:rFonts w:ascii="Times New Roman" w:hAnsi="Times New Roman" w:cs="Times New Roman"/>
          <w:sz w:val="28"/>
          <w:szCs w:val="28"/>
        </w:rPr>
        <w:t>Сегодня армянская диаспора в США является одной из самых организованных. Политическую жизнь общины представляют традиционные армянские партии: «</w:t>
      </w:r>
      <w:r w:rsidRPr="00CB50F9">
        <w:rPr>
          <w:rFonts w:ascii="Times New Roman" w:hAnsi="Times New Roman" w:cs="Times New Roman"/>
          <w:sz w:val="28"/>
          <w:szCs w:val="28"/>
        </w:rPr>
        <w:t>Дашнакцутюн</w:t>
      </w:r>
      <w:r w:rsidRPr="00CB50F9">
        <w:rPr>
          <w:rFonts w:ascii="Times New Roman" w:hAnsi="Times New Roman" w:cs="Times New Roman"/>
          <w:sz w:val="28"/>
          <w:szCs w:val="28"/>
        </w:rPr>
        <w:t>», «Гнчак» и «Рамгавар Азатакан». Под крылом АРФД действует одна из самых влиятельных этнических организаций в США - Армянский национальный комитет Америки, который ставит перед собой три ключевые задачи: 1) официальное признание геноцида армян; 2) поддержка Армении на международной арене и усиление американо-армянских связей; 3) борьба за международное признание Нагорно-Карабахской Республики</w:t>
      </w:r>
    </w:p>
    <w:p w:rsidR="00CB50F9" w:rsidRDefault="00CB50F9" w:rsidP="00CB50F9">
      <w:pPr>
        <w:jc w:val="both"/>
        <w:rPr>
          <w:rFonts w:ascii="Times New Roman" w:hAnsi="Times New Roman" w:cs="Times New Roman"/>
          <w:sz w:val="28"/>
          <w:szCs w:val="28"/>
        </w:rPr>
      </w:pPr>
      <w:r w:rsidRPr="00CB50F9">
        <w:rPr>
          <w:rFonts w:ascii="Times New Roman" w:hAnsi="Times New Roman" w:cs="Times New Roman"/>
          <w:sz w:val="28"/>
          <w:szCs w:val="28"/>
        </w:rPr>
        <w:t>Ввиду того что костяк американо-армянской диаспоры составляют потомки армян, спасшихся в 1915-1923 гг., официальное признание и осуждение геноцида является делом чести и воспринимается диаспорой как борьба за историческую справедливость. Исследование показало, что армянское лобби добилось значительных успехов в этом направлении на федеральном и региональном уровнях. На сегодняшний день резолюции о признании геноцида армян при</w:t>
      </w:r>
      <w:r w:rsidRPr="00CB50F9">
        <w:rPr>
          <w:rFonts w:ascii="Times New Roman" w:hAnsi="Times New Roman" w:cs="Times New Roman"/>
          <w:sz w:val="28"/>
          <w:szCs w:val="28"/>
        </w:rPr>
        <w:t>яты законодательными органами 44</w:t>
      </w:r>
      <w:r w:rsidRPr="00CB50F9">
        <w:rPr>
          <w:rFonts w:ascii="Times New Roman" w:hAnsi="Times New Roman" w:cs="Times New Roman"/>
          <w:sz w:val="28"/>
          <w:szCs w:val="28"/>
        </w:rPr>
        <w:t xml:space="preserve"> штатов. На федеральном уровне законодательные инициативы рассматривались и принимались в различных комитетах обеих палат Конгресса в 1975, 1984, 2001, 2007, 2010 и 2013 гг. </w:t>
      </w:r>
    </w:p>
    <w:p w:rsidR="004F10D5" w:rsidRPr="00CB50F9" w:rsidRDefault="00CB50F9" w:rsidP="00CB50F9">
      <w:pPr>
        <w:jc w:val="both"/>
        <w:rPr>
          <w:rFonts w:ascii="Times New Roman" w:hAnsi="Times New Roman" w:cs="Times New Roman"/>
          <w:sz w:val="28"/>
          <w:szCs w:val="28"/>
        </w:rPr>
      </w:pPr>
      <w:r w:rsidRPr="00CB50F9">
        <w:rPr>
          <w:rFonts w:ascii="Times New Roman" w:hAnsi="Times New Roman" w:cs="Times New Roman"/>
          <w:sz w:val="28"/>
          <w:szCs w:val="28"/>
        </w:rPr>
        <w:t>Долгое время американские армяне делали акцент на президентских выборах, в течение которых практически все кандидаты в период 1975–2008 гг. давали диаспоре обещание признать геноцид. В этой связи отметим, что согласно закону о помятом дне 1975 года, президент США обязан выступить с обращением к армянскому народу. Но, несмотря на это лишь президент Рональд Рейган в послании от 1981 г. охарактеризовал события 1915-1923 гг. как геноцид.</w:t>
      </w:r>
    </w:p>
    <w:p w:rsidR="00CB50F9" w:rsidRDefault="00CB50F9" w:rsidP="00CB50F9">
      <w:pPr>
        <w:jc w:val="both"/>
        <w:rPr>
          <w:rFonts w:ascii="Times New Roman" w:hAnsi="Times New Roman" w:cs="Times New Roman"/>
          <w:sz w:val="28"/>
          <w:szCs w:val="28"/>
        </w:rPr>
      </w:pPr>
      <w:r w:rsidRPr="00CB50F9">
        <w:rPr>
          <w:rFonts w:ascii="Times New Roman" w:hAnsi="Times New Roman" w:cs="Times New Roman"/>
          <w:sz w:val="28"/>
          <w:szCs w:val="28"/>
        </w:rPr>
        <w:t xml:space="preserve">В карабахском направлении армянское лобби США также добилось ощутимых результатов. Достаточно отметить, что в период военной фазы конфликта 1991-1993 гг. представители армянского лобби добились принятия поправки 907 к «Закону в поддержку свободы», запретившей США оказывать помощь Азербайджану. При этом Нагорно-Карабахская Республика была включена в список получателей ежегодной безвозмездной финансовой помощи от американского правительства. За период 2011-2014 гг. армянское лобби добилось признания независимости НКР штатами Род-Айленд, Мэн, </w:t>
      </w:r>
      <w:r w:rsidRPr="00CB50F9">
        <w:rPr>
          <w:rFonts w:ascii="Times New Roman" w:hAnsi="Times New Roman" w:cs="Times New Roman"/>
          <w:sz w:val="28"/>
          <w:szCs w:val="28"/>
        </w:rPr>
        <w:lastRenderedPageBreak/>
        <w:t xml:space="preserve">Луизиана, Массачусетс и Калифорния. В целом, карабахский фактор, как и вопрос признания геноцида, необходимо рассматривать в двух плоскостях: гуманитарной и политической. В 1988-1994 гг. Соединенные Штаты поддерживали движение карабахских армян, воспринимая это как борьбу за свободу и независимость. При этом американцы относились к армянам как к близкому по духу и религии народу, который подвергался геноциду в Турции и этническим чисткам в Баку, Мараге и Сумгаите. </w:t>
      </w:r>
    </w:p>
    <w:p w:rsidR="00CB50F9" w:rsidRPr="00CB50F9" w:rsidRDefault="00CB50F9" w:rsidP="00CB50F9">
      <w:pPr>
        <w:jc w:val="both"/>
        <w:rPr>
          <w:rFonts w:ascii="Times New Roman" w:hAnsi="Times New Roman" w:cs="Times New Roman"/>
          <w:sz w:val="28"/>
          <w:szCs w:val="28"/>
        </w:rPr>
      </w:pPr>
      <w:r w:rsidRPr="00CB50F9">
        <w:rPr>
          <w:rFonts w:ascii="Times New Roman" w:hAnsi="Times New Roman" w:cs="Times New Roman"/>
          <w:sz w:val="28"/>
          <w:szCs w:val="28"/>
        </w:rPr>
        <w:t>В гуманитарном аспекте США по-прежнему симпатизируют армянской стороне, оказывая Еревану и Степанакерту всяческую поддержку. При этом с политической точки зрения Вашингтон делает ставку на Азербайджан как на крупного энергетического игрока в регионе, способного стать альтернативой России в рамках политики диверсификации поставок энергоресурсов в Европу. На сегодняшний день азербайджанский энергетический фактор и геополитическая значимость Турции связывают США руки в вопросе признания независимости НКР.</w:t>
      </w:r>
    </w:p>
    <w:sectPr w:rsidR="00CB50F9" w:rsidRPr="00CB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0492A"/>
    <w:multiLevelType w:val="hybridMultilevel"/>
    <w:tmpl w:val="CA1C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B72BD"/>
    <w:multiLevelType w:val="hybridMultilevel"/>
    <w:tmpl w:val="244E1888"/>
    <w:lvl w:ilvl="0" w:tplc="B7F6E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D5"/>
    <w:rsid w:val="004F10D5"/>
    <w:rsid w:val="00911031"/>
    <w:rsid w:val="00BD7837"/>
    <w:rsid w:val="00CB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08F5"/>
  <w15:chartTrackingRefBased/>
  <w15:docId w15:val="{CF69FA3B-7B2F-4BC5-982A-BAA7CB0D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2017-09-05T09:37:00Z</dcterms:created>
  <dcterms:modified xsi:type="dcterms:W3CDTF">2017-09-05T09:56:00Z</dcterms:modified>
</cp:coreProperties>
</file>