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48B1" w14:textId="08BEB47A" w:rsidR="00AF51D8" w:rsidRDefault="00AF51D8" w:rsidP="00AF51D8">
      <w:pPr>
        <w:pStyle w:val="Heading1"/>
        <w:rPr>
          <w:rFonts w:eastAsia="Times New Roman"/>
          <w:sz w:val="24"/>
          <w:szCs w:val="24"/>
          <w:lang w:val="en-US" w:eastAsia="en-US"/>
        </w:rPr>
      </w:pPr>
      <w:bookmarkStart w:id="0" w:name="_Toc431818227"/>
      <w:r>
        <w:rPr>
          <w:rFonts w:eastAsia="Times New Roman"/>
          <w:lang w:val="en-US" w:eastAsia="en-US"/>
        </w:rPr>
        <w:t>Resilience as a New Turn in EU governance: examining the implications</w:t>
      </w:r>
    </w:p>
    <w:p w14:paraId="171E69FD" w14:textId="77777777" w:rsidR="00AF51D8" w:rsidRPr="00AF51D8" w:rsidRDefault="00AF51D8" w:rsidP="00AF51D8"/>
    <w:p w14:paraId="04FDCE59" w14:textId="7403A12C" w:rsidR="00AF51D8" w:rsidRPr="00AF51D8" w:rsidRDefault="00AF51D8" w:rsidP="00AF51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sz w:val="24"/>
          <w:szCs w:val="24"/>
          <w:lang w:val="en-US" w:eastAsia="en-US"/>
        </w:rPr>
      </w:pPr>
      <w:r w:rsidRPr="00AF51D8">
        <w:rPr>
          <w:rFonts w:eastAsia="Times New Roman" w:cs="Helvetica"/>
          <w:sz w:val="24"/>
          <w:szCs w:val="24"/>
          <w:lang w:val="en-US" w:eastAsia="en-US"/>
        </w:rPr>
        <w:t xml:space="preserve">Elena </w:t>
      </w:r>
      <w:proofErr w:type="spellStart"/>
      <w:r w:rsidRPr="00AF51D8">
        <w:rPr>
          <w:rFonts w:eastAsia="Times New Roman" w:cs="Helvetica"/>
          <w:sz w:val="24"/>
          <w:szCs w:val="24"/>
          <w:lang w:val="en-US" w:eastAsia="en-US"/>
        </w:rPr>
        <w:t>Korosteleva</w:t>
      </w:r>
      <w:proofErr w:type="spellEnd"/>
      <w:r w:rsidRPr="00AF51D8">
        <w:rPr>
          <w:rFonts w:eastAsia="Times New Roman" w:cs="Helvetica"/>
          <w:sz w:val="24"/>
          <w:szCs w:val="24"/>
          <w:lang w:val="en-US" w:eastAsia="en-US"/>
        </w:rPr>
        <w:t>, Professor of International Politics and Jean Monnet Chair of European Politics,</w:t>
      </w:r>
      <w:r w:rsidRPr="00AF51D8">
        <w:rPr>
          <w:rFonts w:eastAsia="Times New Roman" w:cs="Helvetica"/>
          <w:sz w:val="24"/>
          <w:szCs w:val="24"/>
          <w:lang w:val="en-US" w:eastAsia="en-US"/>
        </w:rPr>
        <w:t xml:space="preserve"> PI GCRF RCUK (ES PO/10849/1) </w:t>
      </w:r>
      <w:r w:rsidRPr="00AF51D8">
        <w:rPr>
          <w:rFonts w:eastAsia="Times New Roman" w:cs="Helvetica"/>
          <w:i/>
          <w:iCs/>
          <w:sz w:val="24"/>
          <w:szCs w:val="24"/>
          <w:lang w:val="en-US" w:eastAsia="en-US"/>
        </w:rPr>
        <w:t>School of Politics and International Relations, University of Kent </w:t>
      </w:r>
    </w:p>
    <w:p w14:paraId="17E1CD61" w14:textId="77777777" w:rsidR="00AF51D8" w:rsidRDefault="00AF51D8" w:rsidP="00AF51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i/>
          <w:iCs/>
          <w:sz w:val="24"/>
          <w:szCs w:val="24"/>
          <w:lang w:val="en-US" w:eastAsia="en-US"/>
        </w:rPr>
      </w:pPr>
    </w:p>
    <w:p w14:paraId="4C90B9AF" w14:textId="77777777" w:rsidR="00AF51D8" w:rsidRPr="00AF51D8" w:rsidRDefault="00AF51D8" w:rsidP="00AF51D8">
      <w:pPr>
        <w:pStyle w:val="Heading2"/>
        <w:rPr>
          <w:rFonts w:eastAsia="Times New Roman"/>
          <w:lang w:val="en-US" w:eastAsia="en-US"/>
        </w:rPr>
      </w:pPr>
      <w:r w:rsidRPr="00AF51D8">
        <w:rPr>
          <w:rFonts w:eastAsia="Times New Roman"/>
          <w:lang w:val="en-US" w:eastAsia="en-US"/>
        </w:rPr>
        <w:t>Abstract </w:t>
      </w:r>
    </w:p>
    <w:p w14:paraId="6730584C" w14:textId="77777777" w:rsidR="00AF51D8" w:rsidRPr="00AF51D8" w:rsidRDefault="00AF51D8" w:rsidP="00AF51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lang w:val="en-US" w:eastAsia="en-US"/>
        </w:rPr>
      </w:pPr>
      <w:r w:rsidRPr="00AF51D8">
        <w:rPr>
          <w:rFonts w:eastAsia="Times New Roman" w:cs="Helvetica"/>
          <w:lang w:val="en-US" w:eastAsia="en-US"/>
        </w:rPr>
        <w:t xml:space="preserve">Rising from the margins of EU aid documents resilience became a </w:t>
      </w:r>
      <w:proofErr w:type="spellStart"/>
      <w:r w:rsidRPr="00AF51D8">
        <w:rPr>
          <w:rFonts w:eastAsia="Times New Roman" w:cs="Helvetica"/>
          <w:i/>
          <w:iCs/>
          <w:lang w:val="en-US" w:eastAsia="en-US"/>
        </w:rPr>
        <w:t>centrepiece</w:t>
      </w:r>
      <w:proofErr w:type="spellEnd"/>
      <w:r w:rsidRPr="00AF51D8">
        <w:rPr>
          <w:rFonts w:eastAsia="Times New Roman" w:cs="Helvetica"/>
          <w:i/>
          <w:iCs/>
          <w:lang w:val="en-US" w:eastAsia="en-US"/>
        </w:rPr>
        <w:t xml:space="preserve"> </w:t>
      </w:r>
      <w:r w:rsidRPr="00AF51D8">
        <w:rPr>
          <w:rFonts w:eastAsia="Times New Roman" w:cs="Helvetica"/>
          <w:lang w:val="en-US" w:eastAsia="en-US"/>
        </w:rPr>
        <w:t xml:space="preserve">of the 2016 EU Global Security Strategy, especially in relation to the </w:t>
      </w:r>
      <w:proofErr w:type="spellStart"/>
      <w:r w:rsidRPr="00AF51D8">
        <w:rPr>
          <w:rFonts w:eastAsia="Times New Roman" w:cs="Helvetica"/>
          <w:lang w:val="en-US" w:eastAsia="en-US"/>
        </w:rPr>
        <w:t>neighbourhood</w:t>
      </w:r>
      <w:proofErr w:type="spellEnd"/>
      <w:r w:rsidRPr="00AF51D8">
        <w:rPr>
          <w:rFonts w:eastAsia="Times New Roman" w:cs="Helvetica"/>
          <w:lang w:val="en-US" w:eastAsia="en-US"/>
        </w:rPr>
        <w:t xml:space="preserve">. While the new thinking may signify another paradigmatic shift in EU </w:t>
      </w:r>
      <w:r w:rsidRPr="00AF51D8">
        <w:rPr>
          <w:rFonts w:eastAsia="Times New Roman" w:cs="Helvetica"/>
          <w:i/>
          <w:iCs/>
          <w:lang w:val="en-US" w:eastAsia="en-US"/>
        </w:rPr>
        <w:t>modus operandi</w:t>
      </w:r>
      <w:r w:rsidRPr="00AF51D8">
        <w:rPr>
          <w:rFonts w:eastAsia="Times New Roman" w:cs="Helvetica"/>
          <w:lang w:val="en-US" w:eastAsia="en-US"/>
        </w:rPr>
        <w:t xml:space="preserve">, the question is whether this is </w:t>
      </w:r>
      <w:r w:rsidRPr="00AF51D8">
        <w:rPr>
          <w:rFonts w:eastAsia="Times New Roman" w:cs="Helvetica"/>
          <w:i/>
          <w:iCs/>
          <w:lang w:val="en-US" w:eastAsia="en-US"/>
        </w:rPr>
        <w:t xml:space="preserve">critical </w:t>
      </w:r>
      <w:r w:rsidRPr="00AF51D8">
        <w:rPr>
          <w:rFonts w:eastAsia="Times New Roman" w:cs="Helvetica"/>
          <w:lang w:val="en-US" w:eastAsia="en-US"/>
        </w:rPr>
        <w:t xml:space="preserve">enough to render </w:t>
      </w:r>
      <w:r w:rsidRPr="00AF51D8">
        <w:rPr>
          <w:rFonts w:eastAsia="Times New Roman" w:cs="Helvetica"/>
          <w:i/>
          <w:iCs/>
          <w:lang w:val="en-US" w:eastAsia="en-US"/>
        </w:rPr>
        <w:t xml:space="preserve">EU governance a new turn </w:t>
      </w:r>
      <w:r w:rsidRPr="00AF51D8">
        <w:rPr>
          <w:rFonts w:eastAsia="Times New Roman" w:cs="Helvetica"/>
          <w:lang w:val="en-US" w:eastAsia="en-US"/>
        </w:rPr>
        <w:t>to make it sustainable? This article argues that in order for resilience-framed governance to gain more traction, the EU needs not just engage with ‘the local’ on the outside. More crucially, it needs to accept ‘</w:t>
      </w:r>
      <w:r w:rsidRPr="00AF51D8">
        <w:rPr>
          <w:rFonts w:eastAsia="Times New Roman" w:cs="Helvetica"/>
          <w:i/>
          <w:iCs/>
          <w:lang w:val="en-US" w:eastAsia="en-US"/>
        </w:rPr>
        <w:t>the othe</w:t>
      </w:r>
      <w:r w:rsidRPr="00AF51D8">
        <w:rPr>
          <w:rFonts w:eastAsia="Times New Roman" w:cs="Helvetica"/>
          <w:lang w:val="en-US" w:eastAsia="en-US"/>
        </w:rPr>
        <w:t xml:space="preserve">r’ for </w:t>
      </w:r>
      <w:r w:rsidRPr="00AF51D8">
        <w:rPr>
          <w:rFonts w:eastAsia="Times New Roman" w:cs="Helvetica"/>
          <w:i/>
          <w:iCs/>
          <w:lang w:val="en-US" w:eastAsia="en-US"/>
        </w:rPr>
        <w:t>what it is</w:t>
      </w:r>
      <w:r w:rsidRPr="00AF51D8">
        <w:rPr>
          <w:rFonts w:eastAsia="Times New Roman" w:cs="Helvetica"/>
          <w:lang w:val="en-US" w:eastAsia="en-US"/>
        </w:rPr>
        <w:t xml:space="preserve">, and instead of shifting responsibility, give the latter an opportunity to grow its own critical infrastructure capacities to become effectively self-governable. Is the EU ready for this – not just rhetorically or even methodologically when creating new instruments and subjectivities? The bigger question is whether the EU is prepared to </w:t>
      </w:r>
      <w:r w:rsidRPr="00AF51D8">
        <w:rPr>
          <w:rFonts w:eastAsia="Times New Roman" w:cs="Helvetica"/>
          <w:i/>
          <w:iCs/>
          <w:lang w:val="en-US" w:eastAsia="en-US"/>
        </w:rPr>
        <w:t>critically turn the corner towards post-neoliberal governance? </w:t>
      </w:r>
    </w:p>
    <w:p w14:paraId="44B840C3" w14:textId="77777777" w:rsidR="00AF51D8" w:rsidRPr="00AF51D8" w:rsidRDefault="00AF51D8" w:rsidP="00AF51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lang w:val="en-US" w:eastAsia="en-US"/>
        </w:rPr>
      </w:pPr>
    </w:p>
    <w:p w14:paraId="41A0B482" w14:textId="6B995AEB" w:rsidR="005104FA" w:rsidRPr="00AF51D8" w:rsidRDefault="00AF51D8" w:rsidP="00AF51D8">
      <w:r w:rsidRPr="00AF51D8">
        <w:rPr>
          <w:rFonts w:eastAsia="Times New Roman" w:cs="Helvetica"/>
          <w:lang w:val="en-US" w:eastAsia="en-US"/>
        </w:rPr>
        <w:t>Grant references: H2020 UPTAKE 691818; GCRF RCUK ES PO/10849/1</w:t>
      </w:r>
    </w:p>
    <w:p w14:paraId="3B8BC6B1" w14:textId="18906270" w:rsidR="005104FA" w:rsidRDefault="005104FA" w:rsidP="00B266BA">
      <w:r w:rsidRPr="00803E87">
        <w:rPr>
          <w:rStyle w:val="Heading2Char"/>
        </w:rPr>
        <w:t>Key words</w:t>
      </w:r>
      <w:r>
        <w:t xml:space="preserve">: European Union, resilience-thinking, governance, governmentality, </w:t>
      </w:r>
      <w:r w:rsidR="002E333E">
        <w:rPr>
          <w:i/>
        </w:rPr>
        <w:t xml:space="preserve">othering, </w:t>
      </w:r>
      <w:r w:rsidR="00B266BA">
        <w:t xml:space="preserve">eastern </w:t>
      </w:r>
      <w:r>
        <w:t xml:space="preserve">neighbourhood  </w:t>
      </w:r>
    </w:p>
    <w:bookmarkEnd w:id="0"/>
    <w:p w14:paraId="7C5249F1" w14:textId="7C958697" w:rsidR="005104FA" w:rsidRDefault="00587D02" w:rsidP="00CE0ECB">
      <w:pPr>
        <w:pStyle w:val="Heading2"/>
      </w:pPr>
      <w:r>
        <w:t>From governance through conditionality to governance through resilience?</w:t>
      </w:r>
    </w:p>
    <w:p w14:paraId="105080E3" w14:textId="2989E5D2" w:rsidR="00F03E31" w:rsidRDefault="007B1761" w:rsidP="003B24A6">
      <w:pPr>
        <w:spacing w:line="240" w:lineRule="auto"/>
        <w:jc w:val="both"/>
      </w:pPr>
      <w:r>
        <w:t xml:space="preserve">In June 2016 Federica </w:t>
      </w:r>
      <w:proofErr w:type="spellStart"/>
      <w:r>
        <w:t>Mogherini</w:t>
      </w:r>
      <w:proofErr w:type="spellEnd"/>
      <w:r>
        <w:t xml:space="preserve">, the Higher </w:t>
      </w:r>
      <w:r w:rsidR="002E333E">
        <w:t>R</w:t>
      </w:r>
      <w:r>
        <w:t>epresentative for Foreign Affairs and Security Policy</w:t>
      </w:r>
      <w:r w:rsidR="0006164A">
        <w:t xml:space="preserve">, and the Vice-President of the European Commission, </w:t>
      </w:r>
      <w:r w:rsidR="005F4D37">
        <w:t xml:space="preserve">announced </w:t>
      </w:r>
      <w:r w:rsidR="0006164A">
        <w:t>a new vision for the EU’s Global Security Strategy</w:t>
      </w:r>
      <w:r w:rsidR="00AF51D8">
        <w:t xml:space="preserve">, in which </w:t>
      </w:r>
      <w:r w:rsidR="00557269" w:rsidRPr="00AF51D8">
        <w:rPr>
          <w:b/>
        </w:rPr>
        <w:t>resilienc</w:t>
      </w:r>
      <w:r w:rsidR="00557269">
        <w:t xml:space="preserve">e </w:t>
      </w:r>
      <w:r w:rsidR="00AF51D8">
        <w:t xml:space="preserve">is cited </w:t>
      </w:r>
      <w:r w:rsidR="00557269">
        <w:t xml:space="preserve">no less than 41 times </w:t>
      </w:r>
      <w:r w:rsidR="004E3ACF">
        <w:t>especially in a</w:t>
      </w:r>
      <w:r w:rsidR="00AF51D8">
        <w:t xml:space="preserve">pplication to the neighbourhood. </w:t>
      </w:r>
    </w:p>
    <w:p w14:paraId="1429E260" w14:textId="2A42715F" w:rsidR="001E1C6D" w:rsidRDefault="001E205C" w:rsidP="00E4548D">
      <w:pPr>
        <w:spacing w:line="240" w:lineRule="auto"/>
        <w:jc w:val="both"/>
      </w:pPr>
      <w:r>
        <w:t xml:space="preserve">Although </w:t>
      </w:r>
      <w:r w:rsidR="00DA2FF8">
        <w:t>‘</w:t>
      </w:r>
      <w:r w:rsidR="00702541">
        <w:t>resilience</w:t>
      </w:r>
      <w:r w:rsidR="00DA2FF8">
        <w:t>’</w:t>
      </w:r>
      <w:r w:rsidR="00B31B48">
        <w:t xml:space="preserve"> as a concept</w:t>
      </w:r>
      <w:r w:rsidR="00702541">
        <w:t xml:space="preserve"> </w:t>
      </w:r>
      <w:r w:rsidR="002F7B2A">
        <w:t xml:space="preserve">is </w:t>
      </w:r>
      <w:r w:rsidR="00256986">
        <w:t>not new;</w:t>
      </w:r>
      <w:r>
        <w:t xml:space="preserve"> in practical terms, it </w:t>
      </w:r>
      <w:r w:rsidR="00256986">
        <w:t xml:space="preserve">still </w:t>
      </w:r>
      <w:r>
        <w:t xml:space="preserve">constitutes </w:t>
      </w:r>
      <w:r w:rsidR="002F7B2A">
        <w:t xml:space="preserve">a </w:t>
      </w:r>
      <w:r w:rsidR="00256986">
        <w:t xml:space="preserve">relatively </w:t>
      </w:r>
      <w:r w:rsidR="002F7B2A">
        <w:t>unchartered terrain</w:t>
      </w:r>
      <w:r>
        <w:t xml:space="preserve"> for the EU</w:t>
      </w:r>
      <w:r w:rsidR="00256986">
        <w:t>, especially when it comes to ‘self-governance’</w:t>
      </w:r>
      <w:r w:rsidR="00DA2FF8">
        <w:t xml:space="preserve">. </w:t>
      </w:r>
      <w:r w:rsidR="001E1C6D">
        <w:t xml:space="preserve">The </w:t>
      </w:r>
      <w:r w:rsidR="00702541">
        <w:t xml:space="preserve">overarching </w:t>
      </w:r>
      <w:r w:rsidR="001E1C6D">
        <w:t>problem is</w:t>
      </w:r>
      <w:r w:rsidR="009D49C6">
        <w:t xml:space="preserve"> that </w:t>
      </w:r>
      <w:r w:rsidR="001E1C6D">
        <w:t>very few studies to date, when involving ‘resilience’</w:t>
      </w:r>
      <w:r w:rsidR="009D49C6">
        <w:t>, have a full c</w:t>
      </w:r>
      <w:r w:rsidR="00246424">
        <w:t>omprehension of what state or s</w:t>
      </w:r>
      <w:r w:rsidR="009D49C6">
        <w:t xml:space="preserve">ocietal resilience is </w:t>
      </w:r>
      <w:r w:rsidR="00702541">
        <w:t xml:space="preserve">all </w:t>
      </w:r>
      <w:r w:rsidR="00FA1D95">
        <w:t xml:space="preserve">about, </w:t>
      </w:r>
      <w:r w:rsidR="009D49C6">
        <w:t xml:space="preserve">and how </w:t>
      </w:r>
      <w:r w:rsidR="00FA1D95">
        <w:t xml:space="preserve">we can and should </w:t>
      </w:r>
      <w:r w:rsidR="009D49C6">
        <w:t>work with it, including this author. If resilience is truly about empower</w:t>
      </w:r>
      <w:r>
        <w:t>ing ‘the local’, and growing their</w:t>
      </w:r>
      <w:r w:rsidR="009D49C6">
        <w:t xml:space="preserve"> existing and yet </w:t>
      </w:r>
      <w:r w:rsidR="009D49C6">
        <w:rPr>
          <w:i/>
        </w:rPr>
        <w:t>critical</w:t>
      </w:r>
      <w:r w:rsidR="009D49C6">
        <w:t xml:space="preserve"> capacities</w:t>
      </w:r>
      <w:r w:rsidR="00DA2FF8">
        <w:t xml:space="preserve"> (</w:t>
      </w:r>
      <w:proofErr w:type="spellStart"/>
      <w:r w:rsidR="00246424">
        <w:t>Lundborg</w:t>
      </w:r>
      <w:proofErr w:type="spellEnd"/>
      <w:r w:rsidR="00246424">
        <w:t xml:space="preserve"> </w:t>
      </w:r>
      <w:r w:rsidR="00575ED3">
        <w:t xml:space="preserve">and </w:t>
      </w:r>
      <w:r w:rsidR="00246424">
        <w:t>Vaugha</w:t>
      </w:r>
      <w:r w:rsidR="00DA2FF8">
        <w:t>n</w:t>
      </w:r>
      <w:r w:rsidR="00246424">
        <w:t>-Williams 2011</w:t>
      </w:r>
      <w:r w:rsidR="00DA2FF8">
        <w:t>)</w:t>
      </w:r>
      <w:r w:rsidR="009D49C6">
        <w:t xml:space="preserve">, </w:t>
      </w:r>
      <w:r w:rsidR="00256A5E">
        <w:t xml:space="preserve">to </w:t>
      </w:r>
      <w:r w:rsidR="009D49C6">
        <w:t xml:space="preserve">enable change rather than strengthen </w:t>
      </w:r>
      <w:r w:rsidR="00256986">
        <w:t xml:space="preserve">a </w:t>
      </w:r>
      <w:r w:rsidR="00246424">
        <w:t xml:space="preserve">perceived </w:t>
      </w:r>
      <w:r w:rsidR="009D49C6">
        <w:t xml:space="preserve">undesirability, then it would require a </w:t>
      </w:r>
      <w:r>
        <w:t xml:space="preserve">far </w:t>
      </w:r>
      <w:r w:rsidR="009D49C6">
        <w:t xml:space="preserve">more radical </w:t>
      </w:r>
      <w:r w:rsidR="00702541">
        <w:t xml:space="preserve">de-centring </w:t>
      </w:r>
      <w:r w:rsidR="00B124DA">
        <w:t xml:space="preserve">conceptually, </w:t>
      </w:r>
      <w:r w:rsidR="00702541">
        <w:t>from those who govern to th</w:t>
      </w:r>
      <w:r>
        <w:t>os</w:t>
      </w:r>
      <w:r w:rsidR="00702541">
        <w:t xml:space="preserve">e </w:t>
      </w:r>
      <w:r w:rsidR="00757588">
        <w:t xml:space="preserve">who are </w:t>
      </w:r>
      <w:proofErr w:type="spellStart"/>
      <w:r w:rsidR="00757588">
        <w:t>subjectivised</w:t>
      </w:r>
      <w:proofErr w:type="spellEnd"/>
      <w:r w:rsidR="00757588">
        <w:t xml:space="preserve"> by it</w:t>
      </w:r>
      <w:r w:rsidR="007F286F">
        <w:t>, and not by way of creating compliant subjects (Jose</w:t>
      </w:r>
      <w:r w:rsidR="004D56D1">
        <w:t>ph</w:t>
      </w:r>
      <w:r w:rsidR="007F286F">
        <w:t xml:space="preserve"> 2016), but</w:t>
      </w:r>
      <w:r w:rsidR="00B051DB">
        <w:t xml:space="preserve"> rather by way of empowering ‘</w:t>
      </w:r>
      <w:proofErr w:type="spellStart"/>
      <w:r w:rsidR="00B051DB">
        <w:t>p</w:t>
      </w:r>
      <w:r w:rsidR="007F286F">
        <w:t>e</w:t>
      </w:r>
      <w:r w:rsidR="00B051DB">
        <w:t>o</w:t>
      </w:r>
      <w:r w:rsidR="007F286F">
        <w:t>plehoods</w:t>
      </w:r>
      <w:proofErr w:type="spellEnd"/>
      <w:r w:rsidR="007F286F">
        <w:t>’ (</w:t>
      </w:r>
      <w:proofErr w:type="spellStart"/>
      <w:r w:rsidR="007F286F">
        <w:t>Sadiki</w:t>
      </w:r>
      <w:proofErr w:type="spellEnd"/>
      <w:r w:rsidR="007F286F">
        <w:t xml:space="preserve"> 2016).</w:t>
      </w:r>
      <w:r w:rsidR="00757588">
        <w:t xml:space="preserve"> </w:t>
      </w:r>
      <w:r w:rsidR="007F286F">
        <w:t>Furthermore, o</w:t>
      </w:r>
      <w:r w:rsidR="00757588">
        <w:t xml:space="preserve">ntological learning about resilience </w:t>
      </w:r>
      <w:r w:rsidR="008118ED">
        <w:t>(Chandler 2015</w:t>
      </w:r>
      <w:r w:rsidR="00B124DA">
        <w:t xml:space="preserve">) </w:t>
      </w:r>
      <w:r w:rsidR="00757588">
        <w:t xml:space="preserve">suggests that it is </w:t>
      </w:r>
      <w:r w:rsidR="009D49C6">
        <w:t xml:space="preserve">not at all about </w:t>
      </w:r>
      <w:r w:rsidR="007F286F">
        <w:t xml:space="preserve">devising </w:t>
      </w:r>
      <w:r w:rsidR="00246424">
        <w:t xml:space="preserve">new methodologies </w:t>
      </w:r>
      <w:r w:rsidR="007F286F">
        <w:t>of careful and more sophisticated monitoring and evaluation</w:t>
      </w:r>
      <w:r w:rsidR="009D49C6">
        <w:t xml:space="preserve">. Neither </w:t>
      </w:r>
      <w:r w:rsidR="00757588">
        <w:t>is it</w:t>
      </w:r>
      <w:r w:rsidR="00246424">
        <w:t xml:space="preserve"> entirely</w:t>
      </w:r>
      <w:r w:rsidR="00757588">
        <w:t xml:space="preserve"> about </w:t>
      </w:r>
      <w:r w:rsidR="007F286F">
        <w:t>responsibilising and devolving</w:t>
      </w:r>
      <w:r w:rsidR="00B051DB">
        <w:t xml:space="preserve"> the reigns of</w:t>
      </w:r>
      <w:r w:rsidR="007F286F">
        <w:t xml:space="preserve"> governance to</w:t>
      </w:r>
      <w:r w:rsidR="00B051DB">
        <w:t xml:space="preserve"> </w:t>
      </w:r>
      <w:r w:rsidR="00757588">
        <w:t>new subjectivities,</w:t>
      </w:r>
      <w:r w:rsidR="009D49C6">
        <w:t xml:space="preserve"> within and out</w:t>
      </w:r>
      <w:r w:rsidR="00B051DB">
        <w:t>side</w:t>
      </w:r>
      <w:r w:rsidR="009D49C6">
        <w:t xml:space="preserve"> the EU, </w:t>
      </w:r>
      <w:r w:rsidR="00B051DB">
        <w:t xml:space="preserve">who are still </w:t>
      </w:r>
      <w:r w:rsidR="007F286F">
        <w:t xml:space="preserve">anchored to the EU scripts of management arrangements and assessment </w:t>
      </w:r>
      <w:r w:rsidR="00256A5E" w:rsidRPr="00256A5E">
        <w:t>(Kurki 20</w:t>
      </w:r>
      <w:r w:rsidR="008118ED">
        <w:t>11</w:t>
      </w:r>
      <w:r w:rsidR="00256A5E" w:rsidRPr="00256A5E">
        <w:t>)</w:t>
      </w:r>
      <w:r w:rsidR="009D49C6" w:rsidRPr="00256A5E">
        <w:t xml:space="preserve">. </w:t>
      </w:r>
      <w:r w:rsidR="00FA1D95" w:rsidRPr="00256A5E">
        <w:t>It may not even be about ‘</w:t>
      </w:r>
      <w:r w:rsidR="00FA1D95" w:rsidRPr="00256A5E">
        <w:rPr>
          <w:i/>
        </w:rPr>
        <w:t>governing</w:t>
      </w:r>
      <w:r w:rsidR="00FA1D95" w:rsidRPr="00256A5E">
        <w:t xml:space="preserve"> </w:t>
      </w:r>
      <w:r w:rsidR="00FA1D95" w:rsidRPr="00256A5E">
        <w:rPr>
          <w:i/>
        </w:rPr>
        <w:t>through</w:t>
      </w:r>
      <w:r w:rsidR="00FA1D95" w:rsidRPr="00256A5E">
        <w:t>’ i</w:t>
      </w:r>
      <w:r w:rsidR="00FA1D95">
        <w:t>nstead of ‘</w:t>
      </w:r>
      <w:r w:rsidR="00FA1D95" w:rsidRPr="00FA1D95">
        <w:rPr>
          <w:i/>
        </w:rPr>
        <w:t>governing over</w:t>
      </w:r>
      <w:r w:rsidR="00FA1D95">
        <w:t xml:space="preserve">’ the predisposed and enabled </w:t>
      </w:r>
      <w:r w:rsidR="00702541">
        <w:t xml:space="preserve">new </w:t>
      </w:r>
      <w:r w:rsidR="00FA1D95">
        <w:t>circuits of power</w:t>
      </w:r>
      <w:r w:rsidR="00E564A4">
        <w:t xml:space="preserve">, as Chandler argues (2014), </w:t>
      </w:r>
      <w:r w:rsidR="00FA1D95">
        <w:t xml:space="preserve">for it would still </w:t>
      </w:r>
      <w:r w:rsidR="00702541">
        <w:t xml:space="preserve">be </w:t>
      </w:r>
      <w:r w:rsidR="00FA1D95">
        <w:t>heavily rel</w:t>
      </w:r>
      <w:r w:rsidR="00702541">
        <w:t xml:space="preserve">iant </w:t>
      </w:r>
      <w:r w:rsidR="00FA1D95">
        <w:t xml:space="preserve">on the </w:t>
      </w:r>
      <w:r w:rsidR="00E564A4">
        <w:t>initial</w:t>
      </w:r>
      <w:r w:rsidR="00252F5F">
        <w:t>,</w:t>
      </w:r>
      <w:r w:rsidR="00E564A4">
        <w:t xml:space="preserve"> </w:t>
      </w:r>
      <w:r w:rsidR="00702541">
        <w:t xml:space="preserve">though now distant </w:t>
      </w:r>
      <w:r w:rsidR="00E564A4">
        <w:t>centres of power to shape and direction the outside</w:t>
      </w:r>
      <w:r w:rsidR="00702541">
        <w:t>. T</w:t>
      </w:r>
      <w:r w:rsidR="00E564A4">
        <w:t xml:space="preserve">his is where the true </w:t>
      </w:r>
      <w:r w:rsidR="00B124DA">
        <w:t>puzzle</w:t>
      </w:r>
      <w:r w:rsidR="00E564A4">
        <w:t xml:space="preserve"> of </w:t>
      </w:r>
      <w:r w:rsidR="00FA1D95">
        <w:t>resilience come</w:t>
      </w:r>
      <w:r w:rsidR="00E564A4">
        <w:t>s</w:t>
      </w:r>
      <w:r w:rsidR="00FA1D95">
        <w:t xml:space="preserve"> in</w:t>
      </w:r>
      <w:r w:rsidR="00252F5F">
        <w:t>to</w:t>
      </w:r>
      <w:r w:rsidR="00E564A4">
        <w:t xml:space="preserve"> st</w:t>
      </w:r>
      <w:r w:rsidR="00252F5F">
        <w:t>ark</w:t>
      </w:r>
      <w:r w:rsidR="00E564A4">
        <w:t xml:space="preserve"> </w:t>
      </w:r>
      <w:r w:rsidR="00FA1D95">
        <w:t>contra</w:t>
      </w:r>
      <w:r w:rsidR="00757588">
        <w:t xml:space="preserve">st to our </w:t>
      </w:r>
      <w:r w:rsidR="00256A5E">
        <w:t xml:space="preserve">own </w:t>
      </w:r>
      <w:r w:rsidR="00757588">
        <w:lastRenderedPageBreak/>
        <w:t>external governance thinking</w:t>
      </w:r>
      <w:r w:rsidR="00FA1D95">
        <w:t xml:space="preserve">, </w:t>
      </w:r>
      <w:r w:rsidR="00757588">
        <w:t xml:space="preserve">which </w:t>
      </w:r>
      <w:r w:rsidR="00FA1D95">
        <w:t>even at a distance</w:t>
      </w:r>
      <w:r w:rsidR="00256A5E">
        <w:t xml:space="preserve">, in the form of </w:t>
      </w:r>
      <w:r w:rsidR="00757588">
        <w:t>governmentality</w:t>
      </w:r>
      <w:r w:rsidR="00EB1E42">
        <w:t xml:space="preserve">, </w:t>
      </w:r>
      <w:r w:rsidR="00757588">
        <w:t xml:space="preserve">still </w:t>
      </w:r>
      <w:r w:rsidR="00EB1E42">
        <w:t>involv</w:t>
      </w:r>
      <w:r w:rsidR="00757588">
        <w:t>es</w:t>
      </w:r>
      <w:r w:rsidR="00EB1E42">
        <w:t xml:space="preserve"> </w:t>
      </w:r>
      <w:r w:rsidR="00757588">
        <w:t>EU norms-</w:t>
      </w:r>
      <w:r w:rsidR="00EB1E42">
        <w:t>sharing and transference</w:t>
      </w:r>
      <w:r w:rsidR="00FA1D95">
        <w:t xml:space="preserve">. </w:t>
      </w:r>
    </w:p>
    <w:p w14:paraId="3CD52E80" w14:textId="3F1493B4" w:rsidR="001B1418" w:rsidRDefault="00FA1D95" w:rsidP="00D84C64">
      <w:pPr>
        <w:spacing w:line="240" w:lineRule="auto"/>
        <w:jc w:val="both"/>
      </w:pPr>
      <w:r>
        <w:t>Taking resilience seriously</w:t>
      </w:r>
      <w:r w:rsidR="00E564A4">
        <w:t>, as this paper contends,</w:t>
      </w:r>
      <w:r>
        <w:t xml:space="preserve"> implicates a</w:t>
      </w:r>
      <w:r w:rsidR="00E564A4">
        <w:t xml:space="preserve"> number of </w:t>
      </w:r>
      <w:r w:rsidR="00A8187E">
        <w:t>rational possibilities</w:t>
      </w:r>
      <w:r w:rsidR="00E564A4">
        <w:t xml:space="preserve">. </w:t>
      </w:r>
      <w:r w:rsidR="00E564A4" w:rsidRPr="00256A5E">
        <w:rPr>
          <w:i/>
        </w:rPr>
        <w:t>Conceptually</w:t>
      </w:r>
      <w:r>
        <w:t xml:space="preserve">, </w:t>
      </w:r>
      <w:r w:rsidR="00EB1E42">
        <w:t>in lin</w:t>
      </w:r>
      <w:r w:rsidR="008118ED">
        <w:t>e with Chandler’s argument (2015</w:t>
      </w:r>
      <w:r w:rsidR="00EB1E42">
        <w:t xml:space="preserve">), </w:t>
      </w:r>
      <w:r>
        <w:t xml:space="preserve">it requires </w:t>
      </w:r>
      <w:r w:rsidR="00E564A4">
        <w:t xml:space="preserve">a radical </w:t>
      </w:r>
      <w:r>
        <w:t>ontological</w:t>
      </w:r>
      <w:r w:rsidR="00E564A4">
        <w:t xml:space="preserve"> </w:t>
      </w:r>
      <w:r w:rsidR="00B124DA">
        <w:t xml:space="preserve">rather than epistemological </w:t>
      </w:r>
      <w:r w:rsidR="00E564A4">
        <w:t>rethink</w:t>
      </w:r>
      <w:r w:rsidR="00256A5E">
        <w:t>, especially</w:t>
      </w:r>
      <w:r w:rsidR="00E564A4">
        <w:t xml:space="preserve"> of the meaning</w:t>
      </w:r>
      <w:r w:rsidR="00EB1E42">
        <w:t>s</w:t>
      </w:r>
      <w:r w:rsidR="00E564A4">
        <w:t xml:space="preserve"> of</w:t>
      </w:r>
      <w:r>
        <w:t xml:space="preserve"> ‘the everyday’</w:t>
      </w:r>
      <w:r w:rsidR="00757588">
        <w:t xml:space="preserve">, </w:t>
      </w:r>
      <w:r w:rsidR="00CA7301">
        <w:t>and ‘the local’</w:t>
      </w:r>
      <w:r w:rsidR="00E564A4">
        <w:t xml:space="preserve">. It </w:t>
      </w:r>
      <w:r w:rsidR="00256A5E">
        <w:t xml:space="preserve">should </w:t>
      </w:r>
      <w:r w:rsidR="00D84C64">
        <w:t xml:space="preserve">involve reconceptualization of </w:t>
      </w:r>
      <w:r w:rsidR="007F286F">
        <w:t xml:space="preserve">‘self-governance’ </w:t>
      </w:r>
      <w:r w:rsidR="00D84C64">
        <w:t xml:space="preserve">– perhaps not as a ‘conduct of conducts’ (Foucault </w:t>
      </w:r>
      <w:r w:rsidR="008118ED">
        <w:t>2007</w:t>
      </w:r>
      <w:r w:rsidR="00D84C64">
        <w:t>), but rather</w:t>
      </w:r>
      <w:r w:rsidR="00CA7301">
        <w:t>, going beyond governmentality, to conceive of</w:t>
      </w:r>
      <w:r w:rsidR="00D84C64">
        <w:t xml:space="preserve"> a gently guided self-organisation </w:t>
      </w:r>
      <w:r w:rsidR="007F286F">
        <w:t xml:space="preserve">predicated on </w:t>
      </w:r>
      <w:r w:rsidR="00D84C64">
        <w:t xml:space="preserve">a </w:t>
      </w:r>
      <w:r w:rsidR="001B1418">
        <w:t xml:space="preserve">deep </w:t>
      </w:r>
      <w:r w:rsidR="00D84C64">
        <w:t>sense of ‘</w:t>
      </w:r>
      <w:r w:rsidR="00CA7301">
        <w:t>the peoplehood</w:t>
      </w:r>
      <w:r w:rsidR="00D84C64">
        <w:t xml:space="preserve">’ </w:t>
      </w:r>
      <w:r w:rsidR="00E564A4">
        <w:t>(</w:t>
      </w:r>
      <w:r w:rsidR="00246424">
        <w:t>Sadiki 2017</w:t>
      </w:r>
      <w:r w:rsidR="00E564A4">
        <w:t>),</w:t>
      </w:r>
      <w:r w:rsidR="00256A5E">
        <w:t xml:space="preserve"> and </w:t>
      </w:r>
      <w:r w:rsidR="00E564A4">
        <w:t>‘</w:t>
      </w:r>
      <w:proofErr w:type="spellStart"/>
      <w:r w:rsidR="00E564A4">
        <w:t>agachiro</w:t>
      </w:r>
      <w:proofErr w:type="spellEnd"/>
      <w:r w:rsidR="00E564A4">
        <w:t>’</w:t>
      </w:r>
      <w:r w:rsidR="00D84C64">
        <w:t xml:space="preserve"> – the meaning </w:t>
      </w:r>
      <w:r w:rsidR="00757588">
        <w:t xml:space="preserve">of good life </w:t>
      </w:r>
      <w:r w:rsidR="00E564A4">
        <w:t>(</w:t>
      </w:r>
      <w:proofErr w:type="spellStart"/>
      <w:r w:rsidR="00246424">
        <w:t>Rutazibwa</w:t>
      </w:r>
      <w:proofErr w:type="spellEnd"/>
      <w:r w:rsidR="00246424">
        <w:t xml:space="preserve"> </w:t>
      </w:r>
      <w:r w:rsidR="004A0463">
        <w:t>2014</w:t>
      </w:r>
      <w:r w:rsidR="00E564A4">
        <w:t>)</w:t>
      </w:r>
      <w:r w:rsidR="007F286F">
        <w:t xml:space="preserve">, which are distinctly different in their </w:t>
      </w:r>
      <w:r w:rsidR="00B124DA">
        <w:t xml:space="preserve">thinking, and </w:t>
      </w:r>
      <w:r w:rsidR="007F286F">
        <w:t xml:space="preserve">critical </w:t>
      </w:r>
      <w:r w:rsidR="00256A5E">
        <w:t xml:space="preserve">capabilities. </w:t>
      </w:r>
    </w:p>
    <w:p w14:paraId="299DF487" w14:textId="2C997C71" w:rsidR="00E564A4" w:rsidRDefault="001B1418" w:rsidP="00E4548D">
      <w:pPr>
        <w:spacing w:line="240" w:lineRule="auto"/>
        <w:jc w:val="both"/>
      </w:pPr>
      <w:r w:rsidRPr="00256A5E">
        <w:rPr>
          <w:i/>
        </w:rPr>
        <w:t>Methodologically</w:t>
      </w:r>
      <w:r>
        <w:t xml:space="preserve">, </w:t>
      </w:r>
      <w:r w:rsidR="00D84C64">
        <w:t>it does not simply imply a shift of ‘responsibility on to individuals and communities</w:t>
      </w:r>
      <w:r w:rsidR="00CA7301">
        <w:t xml:space="preserve">’ (Joseph 2016:389), as newly created subjectivities. Rather, it should be about </w:t>
      </w:r>
      <w:r>
        <w:t>accept</w:t>
      </w:r>
      <w:r w:rsidR="00EB1E42">
        <w:t>ing</w:t>
      </w:r>
      <w:r>
        <w:t xml:space="preserve"> ‘the other’ for </w:t>
      </w:r>
      <w:r w:rsidR="0086785E">
        <w:t xml:space="preserve">what </w:t>
      </w:r>
      <w:r w:rsidR="00CA7301">
        <w:t xml:space="preserve">they are </w:t>
      </w:r>
      <w:r w:rsidR="00246424">
        <w:t>–</w:t>
      </w:r>
      <w:r w:rsidR="00CA7301">
        <w:t xml:space="preserve"> </w:t>
      </w:r>
      <w:r w:rsidR="00256986">
        <w:t xml:space="preserve">often perceived as </w:t>
      </w:r>
      <w:r w:rsidR="00246424">
        <w:t>rogue</w:t>
      </w:r>
      <w:r w:rsidR="00EB1E42">
        <w:t xml:space="preserve">, authoritarian, defiant, </w:t>
      </w:r>
      <w:r w:rsidR="00256986">
        <w:t xml:space="preserve">and </w:t>
      </w:r>
      <w:r w:rsidR="00EB1E42">
        <w:t xml:space="preserve">maverick – </w:t>
      </w:r>
      <w:r>
        <w:t>and</w:t>
      </w:r>
      <w:r w:rsidR="00EB1E42">
        <w:t xml:space="preserve"> </w:t>
      </w:r>
      <w:r>
        <w:t xml:space="preserve">work with </w:t>
      </w:r>
      <w:r w:rsidR="00CA7301">
        <w:t xml:space="preserve">them, seeking to </w:t>
      </w:r>
      <w:r w:rsidR="00256A5E">
        <w:t xml:space="preserve">turn their existing capacities into </w:t>
      </w:r>
      <w:r>
        <w:t>critical infrastructures</w:t>
      </w:r>
      <w:r w:rsidR="00EB1E42">
        <w:t xml:space="preserve"> </w:t>
      </w:r>
      <w:r w:rsidR="00A6351D">
        <w:t xml:space="preserve">to </w:t>
      </w:r>
      <w:r w:rsidR="00EB1E42">
        <w:t>necessitat</w:t>
      </w:r>
      <w:r w:rsidR="00A6351D">
        <w:t xml:space="preserve">e </w:t>
      </w:r>
      <w:r w:rsidR="00EB1E42">
        <w:t>change, from within</w:t>
      </w:r>
      <w:r w:rsidR="00D537CA">
        <w:t>, and make it sustainable</w:t>
      </w:r>
      <w:r>
        <w:t xml:space="preserve">. </w:t>
      </w:r>
      <w:r w:rsidR="00EB1E42">
        <w:t>This</w:t>
      </w:r>
      <w:r w:rsidR="00164DAF">
        <w:t>,</w:t>
      </w:r>
      <w:r w:rsidR="00EB1E42">
        <w:t xml:space="preserve"> however</w:t>
      </w:r>
      <w:r w:rsidR="00164DAF">
        <w:t>,</w:t>
      </w:r>
      <w:r w:rsidR="00EB1E42">
        <w:t xml:space="preserve"> is different from </w:t>
      </w:r>
      <w:r w:rsidR="000857C5">
        <w:t xml:space="preserve">identifying </w:t>
      </w:r>
      <w:r w:rsidR="00A6351D">
        <w:t xml:space="preserve">solutions from a list of prescriptive measures, or only </w:t>
      </w:r>
      <w:r w:rsidR="000857C5">
        <w:t>investing</w:t>
      </w:r>
      <w:r w:rsidR="00584863">
        <w:t xml:space="preserve"> </w:t>
      </w:r>
      <w:r w:rsidR="000857C5">
        <w:t xml:space="preserve">in </w:t>
      </w:r>
      <w:r w:rsidR="007300E9">
        <w:t>‘</w:t>
      </w:r>
      <w:r w:rsidR="000857C5">
        <w:t>like</w:t>
      </w:r>
      <w:r w:rsidR="00584863">
        <w:t>-minded</w:t>
      </w:r>
      <w:r w:rsidR="007300E9">
        <w:t xml:space="preserve"> countries’</w:t>
      </w:r>
      <w:r w:rsidR="000857C5">
        <w:t xml:space="preserve"> and </w:t>
      </w:r>
      <w:r w:rsidR="00584863">
        <w:t xml:space="preserve">‘cooperative regional orders’ as the EUGSS suggests (2016: </w:t>
      </w:r>
      <w:r w:rsidR="007300E9">
        <w:t>8;</w:t>
      </w:r>
      <w:r w:rsidR="00584863">
        <w:t>10). T</w:t>
      </w:r>
      <w:r w:rsidR="000857C5">
        <w:t xml:space="preserve">rue resilience-thinking </w:t>
      </w:r>
      <w:r>
        <w:t xml:space="preserve">would go beyond </w:t>
      </w:r>
      <w:r w:rsidR="00A6351D">
        <w:t xml:space="preserve">a liberal internationalist approach of ready-made solutions, and even beyond </w:t>
      </w:r>
      <w:r w:rsidR="00584863">
        <w:t>a</w:t>
      </w:r>
      <w:r w:rsidR="00D347EF">
        <w:t xml:space="preserve"> new-liberal working with responsibilised subjects, from a distance </w:t>
      </w:r>
      <w:r w:rsidR="00A6351D">
        <w:t>(</w:t>
      </w:r>
      <w:r w:rsidR="00D347EF">
        <w:t>Joseph 2013; 2016)</w:t>
      </w:r>
      <w:r>
        <w:t xml:space="preserve">. </w:t>
      </w:r>
      <w:r w:rsidR="000857C5">
        <w:t>As</w:t>
      </w:r>
      <w:r>
        <w:t xml:space="preserve"> Schmidt (</w:t>
      </w:r>
      <w:r w:rsidR="00D537CA">
        <w:t>2015</w:t>
      </w:r>
      <w:r>
        <w:t xml:space="preserve">) </w:t>
      </w:r>
      <w:r w:rsidR="000857C5">
        <w:t xml:space="preserve">contends, it </w:t>
      </w:r>
      <w:r w:rsidR="00A6351D">
        <w:t xml:space="preserve">really needs a </w:t>
      </w:r>
      <w:r w:rsidR="00D537CA">
        <w:t xml:space="preserve">leap </w:t>
      </w:r>
      <w:r w:rsidR="00584863">
        <w:t xml:space="preserve">to </w:t>
      </w:r>
      <w:r w:rsidR="000857C5">
        <w:t>imagin</w:t>
      </w:r>
      <w:r w:rsidR="00584863">
        <w:t>e</w:t>
      </w:r>
      <w:r w:rsidR="000857C5">
        <w:t xml:space="preserve"> a post-neo-liberal world, of coordinated self-governance, </w:t>
      </w:r>
      <w:r w:rsidR="00584863">
        <w:t>premised on ‘the home-grown local’ and ‘the everyday’.</w:t>
      </w:r>
      <w:r>
        <w:t xml:space="preserve"> Is the EU ready to undertake th</w:t>
      </w:r>
      <w:r w:rsidR="000857C5">
        <w:t>is</w:t>
      </w:r>
      <w:r>
        <w:t xml:space="preserve"> leap</w:t>
      </w:r>
      <w:r w:rsidR="00584863">
        <w:t xml:space="preserve"> in</w:t>
      </w:r>
      <w:r w:rsidR="00D537CA">
        <w:t>to</w:t>
      </w:r>
      <w:r w:rsidR="00584863">
        <w:t xml:space="preserve"> the unknown and less governable tomorrow</w:t>
      </w:r>
      <w:r>
        <w:t xml:space="preserve">, even if its </w:t>
      </w:r>
      <w:r w:rsidR="00D537CA">
        <w:t xml:space="preserve">intuitive </w:t>
      </w:r>
      <w:r>
        <w:t>discourse point</w:t>
      </w:r>
      <w:r w:rsidR="00D537CA">
        <w:t>s</w:t>
      </w:r>
      <w:r>
        <w:t xml:space="preserve"> in th</w:t>
      </w:r>
      <w:r w:rsidR="00584863">
        <w:t xml:space="preserve">at </w:t>
      </w:r>
      <w:r>
        <w:t xml:space="preserve">direction?    </w:t>
      </w:r>
      <w:r w:rsidR="00E564A4">
        <w:t xml:space="preserve"> </w:t>
      </w:r>
    </w:p>
    <w:p w14:paraId="6F646D98" w14:textId="33648739" w:rsidR="00B266BA" w:rsidRDefault="001B1418" w:rsidP="00E4548D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t xml:space="preserve">This paper sets to explore these and many other questions, </w:t>
      </w:r>
      <w:r w:rsidR="00A6351D">
        <w:t xml:space="preserve">aiming </w:t>
      </w:r>
      <w:r>
        <w:t xml:space="preserve">to establish whether resilience </w:t>
      </w:r>
      <w:r w:rsidR="00A6351D">
        <w:t xml:space="preserve">is likely to </w:t>
      </w:r>
      <w:r>
        <w:t xml:space="preserve">render a </w:t>
      </w:r>
      <w:r w:rsidRPr="00A6351D">
        <w:rPr>
          <w:i/>
        </w:rPr>
        <w:t>new critical turn</w:t>
      </w:r>
      <w:r>
        <w:t xml:space="preserve"> in EU governance </w:t>
      </w:r>
      <w:r w:rsidR="00A6351D">
        <w:t xml:space="preserve">thinking, both conceptually and methodologically. </w:t>
      </w:r>
      <w:r>
        <w:t xml:space="preserve">First, it will examine the meanings of resilience in EU discourse, and what new it </w:t>
      </w:r>
      <w:r w:rsidR="000857C5">
        <w:t xml:space="preserve">seeks to </w:t>
      </w:r>
      <w:r>
        <w:t xml:space="preserve">contribute to the EU </w:t>
      </w:r>
      <w:r w:rsidR="00D537CA" w:rsidRPr="00D537CA">
        <w:rPr>
          <w:i/>
        </w:rPr>
        <w:t xml:space="preserve">strategic </w:t>
      </w:r>
      <w:r>
        <w:t>governance</w:t>
      </w:r>
      <w:r w:rsidR="000857C5">
        <w:t xml:space="preserve">, </w:t>
      </w:r>
      <w:r w:rsidR="00D537CA">
        <w:t xml:space="preserve">especially </w:t>
      </w:r>
      <w:r w:rsidR="000857C5">
        <w:t>in the context of the previous paradigmatic shifts</w:t>
      </w:r>
      <w:r w:rsidR="00D537CA">
        <w:t xml:space="preserve">, and now, a highly unsettled and volatile </w:t>
      </w:r>
      <w:r w:rsidR="00A6351D">
        <w:t>neighbourhood</w:t>
      </w:r>
      <w:r w:rsidR="000857C5">
        <w:t>.</w:t>
      </w:r>
      <w:r>
        <w:t xml:space="preserve"> In the second section, </w:t>
      </w:r>
      <w:r w:rsidR="00164DAF">
        <w:t>resilience</w:t>
      </w:r>
      <w:r>
        <w:t xml:space="preserve"> will be explored </w:t>
      </w:r>
      <w:r w:rsidR="00164DAF">
        <w:t xml:space="preserve">as to </w:t>
      </w:r>
      <w:r>
        <w:t xml:space="preserve">how </w:t>
      </w:r>
      <w:r w:rsidR="00164DAF">
        <w:t xml:space="preserve">it </w:t>
      </w:r>
      <w:r w:rsidR="000857C5">
        <w:t>has been</w:t>
      </w:r>
      <w:r>
        <w:t xml:space="preserve"> theorised in IR</w:t>
      </w:r>
      <w:r w:rsidR="000857C5">
        <w:t xml:space="preserve"> to date</w:t>
      </w:r>
      <w:r w:rsidR="00A6351D">
        <w:t xml:space="preserve"> and what is there still ‘unsaid’ about the term</w:t>
      </w:r>
      <w:r>
        <w:t xml:space="preserve">, </w:t>
      </w:r>
      <w:r w:rsidR="000857C5">
        <w:t xml:space="preserve">to </w:t>
      </w:r>
      <w:r w:rsidR="00A6351D">
        <w:t>make one’s governance more effective and sustainable.</w:t>
      </w:r>
      <w:r>
        <w:t xml:space="preserve"> Finally, the paper will seek to </w:t>
      </w:r>
      <w:r w:rsidR="000857C5">
        <w:t xml:space="preserve">explore </w:t>
      </w:r>
      <w:r>
        <w:t xml:space="preserve">the role and the place for ‘the local’ and ‘the peoplehood’ </w:t>
      </w:r>
      <w:r w:rsidR="000857C5">
        <w:t xml:space="preserve">in the context of positive </w:t>
      </w:r>
      <w:r w:rsidR="000857C5" w:rsidRPr="000857C5">
        <w:rPr>
          <w:i/>
        </w:rPr>
        <w:t>othering</w:t>
      </w:r>
      <w:r w:rsidR="000857C5">
        <w:t xml:space="preserve"> as part of a </w:t>
      </w:r>
      <w:r w:rsidR="00D347EF">
        <w:t>new</w:t>
      </w:r>
      <w:r w:rsidR="000857C5">
        <w:t xml:space="preserve"> resilience-</w:t>
      </w:r>
      <w:r>
        <w:t xml:space="preserve">thinking, to see if </w:t>
      </w:r>
      <w:r w:rsidR="0074210C">
        <w:t xml:space="preserve">EU governance could critically </w:t>
      </w:r>
      <w:r w:rsidR="000857C5">
        <w:t xml:space="preserve">rather than </w:t>
      </w:r>
      <w:r w:rsidR="00A6351D">
        <w:t xml:space="preserve">just </w:t>
      </w:r>
      <w:r w:rsidR="000857C5">
        <w:t xml:space="preserve">paradigmatically </w:t>
      </w:r>
      <w:r w:rsidR="0074210C">
        <w:t xml:space="preserve">turn the corner, </w:t>
      </w:r>
      <w:r w:rsidR="000857C5">
        <w:t>to</w:t>
      </w:r>
      <w:r w:rsidR="00A6351D">
        <w:t>wards</w:t>
      </w:r>
      <w:r w:rsidR="000857C5">
        <w:t xml:space="preserve"> more </w:t>
      </w:r>
      <w:r w:rsidR="00D537CA">
        <w:t xml:space="preserve">sustainable and </w:t>
      </w:r>
      <w:r w:rsidR="000857C5">
        <w:t xml:space="preserve">responsive </w:t>
      </w:r>
      <w:r w:rsidR="000857C5">
        <w:rPr>
          <w:i/>
        </w:rPr>
        <w:t xml:space="preserve">modus operandi. </w:t>
      </w:r>
    </w:p>
    <w:p w14:paraId="04EFC00D" w14:textId="77777777" w:rsidR="008663A7" w:rsidRPr="008663A7" w:rsidRDefault="008663A7" w:rsidP="008663A7">
      <w:bookmarkStart w:id="1" w:name="_GoBack"/>
      <w:bookmarkEnd w:id="1"/>
    </w:p>
    <w:sectPr w:rsidR="008663A7" w:rsidRPr="008663A7" w:rsidSect="00246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C7B3D" w14:textId="77777777" w:rsidR="00FD543D" w:rsidRDefault="00FD543D">
      <w:pPr>
        <w:spacing w:after="0" w:line="240" w:lineRule="auto"/>
      </w:pPr>
      <w:r>
        <w:separator/>
      </w:r>
    </w:p>
  </w:endnote>
  <w:endnote w:type="continuationSeparator" w:id="0">
    <w:p w14:paraId="5DEE6740" w14:textId="77777777" w:rsidR="00FD543D" w:rsidRDefault="00FD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99D1" w14:textId="77777777" w:rsidR="009A280A" w:rsidRDefault="009A28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D50E" w14:textId="77777777" w:rsidR="00890106" w:rsidRDefault="008901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3F0A" w14:textId="77777777" w:rsidR="009A280A" w:rsidRDefault="009A28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03C5" w14:textId="77777777" w:rsidR="00FD543D" w:rsidRDefault="00FD543D">
      <w:pPr>
        <w:spacing w:after="0" w:line="240" w:lineRule="auto"/>
      </w:pPr>
      <w:r>
        <w:separator/>
      </w:r>
    </w:p>
  </w:footnote>
  <w:footnote w:type="continuationSeparator" w:id="0">
    <w:p w14:paraId="6304ED79" w14:textId="77777777" w:rsidR="00FD543D" w:rsidRDefault="00FD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5412B" w14:textId="77777777" w:rsidR="009A280A" w:rsidRDefault="009A28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44546A" w:themeColor="text2"/>
        <w:sz w:val="20"/>
        <w:szCs w:val="20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A62B3A" w14:textId="77777777" w:rsidR="00890106" w:rsidRPr="004E2D11" w:rsidRDefault="00890106" w:rsidP="00246424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9026"/>
            <w:tab w:val="right" w:pos="9356"/>
          </w:tabs>
          <w:jc w:val="center"/>
          <w:rPr>
            <w:rFonts w:asciiTheme="majorHAnsi" w:eastAsiaTheme="majorEastAsia" w:hAnsiTheme="majorHAnsi" w:cstheme="majorBidi"/>
            <w:b/>
            <w:color w:val="44546A" w:themeColor="text2"/>
            <w:sz w:val="32"/>
            <w:szCs w:val="32"/>
          </w:rPr>
        </w:pPr>
        <w:r>
          <w:rPr>
            <w:b/>
            <w:color w:val="44546A" w:themeColor="text2"/>
            <w:sz w:val="20"/>
            <w:szCs w:val="20"/>
          </w:rPr>
          <w:t xml:space="preserve">     </w:t>
        </w:r>
      </w:p>
    </w:sdtContent>
  </w:sdt>
  <w:p w14:paraId="5DD512E8" w14:textId="77777777" w:rsidR="00890106" w:rsidRDefault="0089010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98A6" w14:textId="77777777" w:rsidR="009A280A" w:rsidRDefault="009A28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3CF"/>
    <w:multiLevelType w:val="multilevel"/>
    <w:tmpl w:val="9FB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B7894"/>
    <w:multiLevelType w:val="hybridMultilevel"/>
    <w:tmpl w:val="0EDA433C"/>
    <w:lvl w:ilvl="0" w:tplc="5F804F8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E9D"/>
    <w:multiLevelType w:val="hybridMultilevel"/>
    <w:tmpl w:val="EF22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D22A9"/>
    <w:multiLevelType w:val="hybridMultilevel"/>
    <w:tmpl w:val="C3EA7C20"/>
    <w:lvl w:ilvl="0" w:tplc="5F804F8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456C"/>
    <w:multiLevelType w:val="hybridMultilevel"/>
    <w:tmpl w:val="ED74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510F"/>
    <w:multiLevelType w:val="hybridMultilevel"/>
    <w:tmpl w:val="DB4A5682"/>
    <w:lvl w:ilvl="0" w:tplc="08BC5C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6C85"/>
    <w:multiLevelType w:val="hybridMultilevel"/>
    <w:tmpl w:val="0AF22EAC"/>
    <w:lvl w:ilvl="0" w:tplc="5F804F8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08B5"/>
    <w:multiLevelType w:val="hybridMultilevel"/>
    <w:tmpl w:val="CACECAE8"/>
    <w:lvl w:ilvl="0" w:tplc="27A6817A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A"/>
    <w:rsid w:val="00001654"/>
    <w:rsid w:val="00011022"/>
    <w:rsid w:val="0001276B"/>
    <w:rsid w:val="00016FCE"/>
    <w:rsid w:val="0002373B"/>
    <w:rsid w:val="00034CF1"/>
    <w:rsid w:val="0004002E"/>
    <w:rsid w:val="00041D10"/>
    <w:rsid w:val="00045D4F"/>
    <w:rsid w:val="000551C5"/>
    <w:rsid w:val="0006164A"/>
    <w:rsid w:val="00071950"/>
    <w:rsid w:val="0007387F"/>
    <w:rsid w:val="000857C5"/>
    <w:rsid w:val="00091F9B"/>
    <w:rsid w:val="00093C5F"/>
    <w:rsid w:val="00095862"/>
    <w:rsid w:val="000B1ED4"/>
    <w:rsid w:val="000B4EB8"/>
    <w:rsid w:val="000C7E84"/>
    <w:rsid w:val="000D7553"/>
    <w:rsid w:val="000E2234"/>
    <w:rsid w:val="000E6256"/>
    <w:rsid w:val="000E65A0"/>
    <w:rsid w:val="000F257E"/>
    <w:rsid w:val="0010629C"/>
    <w:rsid w:val="00117392"/>
    <w:rsid w:val="001202F3"/>
    <w:rsid w:val="00133574"/>
    <w:rsid w:val="0013395C"/>
    <w:rsid w:val="0014170A"/>
    <w:rsid w:val="0014257B"/>
    <w:rsid w:val="00143F70"/>
    <w:rsid w:val="00164DAF"/>
    <w:rsid w:val="0016787F"/>
    <w:rsid w:val="001702ED"/>
    <w:rsid w:val="001754BF"/>
    <w:rsid w:val="001853C0"/>
    <w:rsid w:val="0018564D"/>
    <w:rsid w:val="001A2913"/>
    <w:rsid w:val="001A4594"/>
    <w:rsid w:val="001B1418"/>
    <w:rsid w:val="001C0407"/>
    <w:rsid w:val="001C0A6E"/>
    <w:rsid w:val="001C7FD0"/>
    <w:rsid w:val="001D0088"/>
    <w:rsid w:val="001D1532"/>
    <w:rsid w:val="001E1C6D"/>
    <w:rsid w:val="001E205C"/>
    <w:rsid w:val="001E2B64"/>
    <w:rsid w:val="001F1446"/>
    <w:rsid w:val="001F20AA"/>
    <w:rsid w:val="00202C66"/>
    <w:rsid w:val="00206816"/>
    <w:rsid w:val="00210410"/>
    <w:rsid w:val="00237D85"/>
    <w:rsid w:val="0024078C"/>
    <w:rsid w:val="002410A0"/>
    <w:rsid w:val="00246424"/>
    <w:rsid w:val="00252F5F"/>
    <w:rsid w:val="00256986"/>
    <w:rsid w:val="00256A5E"/>
    <w:rsid w:val="00272766"/>
    <w:rsid w:val="0027302E"/>
    <w:rsid w:val="002A67BD"/>
    <w:rsid w:val="002D0405"/>
    <w:rsid w:val="002E15A5"/>
    <w:rsid w:val="002E333E"/>
    <w:rsid w:val="002E70CC"/>
    <w:rsid w:val="002F2BB3"/>
    <w:rsid w:val="002F7B2A"/>
    <w:rsid w:val="00302244"/>
    <w:rsid w:val="00305EE5"/>
    <w:rsid w:val="0031049D"/>
    <w:rsid w:val="00317A6C"/>
    <w:rsid w:val="00317D73"/>
    <w:rsid w:val="00320D5C"/>
    <w:rsid w:val="00324639"/>
    <w:rsid w:val="003438C0"/>
    <w:rsid w:val="00346D8D"/>
    <w:rsid w:val="00381FA3"/>
    <w:rsid w:val="00384D11"/>
    <w:rsid w:val="003953FB"/>
    <w:rsid w:val="00396367"/>
    <w:rsid w:val="003A0040"/>
    <w:rsid w:val="003A0DF4"/>
    <w:rsid w:val="003A2277"/>
    <w:rsid w:val="003B24A6"/>
    <w:rsid w:val="003B5CE0"/>
    <w:rsid w:val="003C0F79"/>
    <w:rsid w:val="003C5DC7"/>
    <w:rsid w:val="003D565E"/>
    <w:rsid w:val="003E1183"/>
    <w:rsid w:val="003F1664"/>
    <w:rsid w:val="003F265C"/>
    <w:rsid w:val="003F26B4"/>
    <w:rsid w:val="003F3DCF"/>
    <w:rsid w:val="003F687D"/>
    <w:rsid w:val="0040434B"/>
    <w:rsid w:val="00426597"/>
    <w:rsid w:val="00426AA5"/>
    <w:rsid w:val="00436165"/>
    <w:rsid w:val="00440ACB"/>
    <w:rsid w:val="00450E6B"/>
    <w:rsid w:val="00453407"/>
    <w:rsid w:val="0045563F"/>
    <w:rsid w:val="0045739C"/>
    <w:rsid w:val="00460C55"/>
    <w:rsid w:val="004655DE"/>
    <w:rsid w:val="0048042E"/>
    <w:rsid w:val="004955CE"/>
    <w:rsid w:val="004A0463"/>
    <w:rsid w:val="004A4DF7"/>
    <w:rsid w:val="004A56C7"/>
    <w:rsid w:val="004A64F0"/>
    <w:rsid w:val="004B639E"/>
    <w:rsid w:val="004C605E"/>
    <w:rsid w:val="004D56D1"/>
    <w:rsid w:val="004D5DB5"/>
    <w:rsid w:val="004E3ACF"/>
    <w:rsid w:val="004E6E32"/>
    <w:rsid w:val="004F164A"/>
    <w:rsid w:val="004F196B"/>
    <w:rsid w:val="004F1BDC"/>
    <w:rsid w:val="005104FA"/>
    <w:rsid w:val="00513B4C"/>
    <w:rsid w:val="005140C6"/>
    <w:rsid w:val="005251D0"/>
    <w:rsid w:val="0053002A"/>
    <w:rsid w:val="005311A3"/>
    <w:rsid w:val="00536079"/>
    <w:rsid w:val="00536402"/>
    <w:rsid w:val="00536DB1"/>
    <w:rsid w:val="00544D38"/>
    <w:rsid w:val="005458F8"/>
    <w:rsid w:val="00557269"/>
    <w:rsid w:val="00575ED3"/>
    <w:rsid w:val="005761ED"/>
    <w:rsid w:val="00584863"/>
    <w:rsid w:val="005851DA"/>
    <w:rsid w:val="00587D02"/>
    <w:rsid w:val="005A0296"/>
    <w:rsid w:val="005A4CA3"/>
    <w:rsid w:val="005A72C6"/>
    <w:rsid w:val="005B15E1"/>
    <w:rsid w:val="005B616C"/>
    <w:rsid w:val="005D09A1"/>
    <w:rsid w:val="005D47ED"/>
    <w:rsid w:val="005D5D5E"/>
    <w:rsid w:val="005E4C6F"/>
    <w:rsid w:val="005E5487"/>
    <w:rsid w:val="005E566E"/>
    <w:rsid w:val="005F1CAB"/>
    <w:rsid w:val="005F4D37"/>
    <w:rsid w:val="005F5353"/>
    <w:rsid w:val="006054CE"/>
    <w:rsid w:val="0061083E"/>
    <w:rsid w:val="0061178F"/>
    <w:rsid w:val="006136C0"/>
    <w:rsid w:val="00624627"/>
    <w:rsid w:val="00625708"/>
    <w:rsid w:val="006446B5"/>
    <w:rsid w:val="00652C04"/>
    <w:rsid w:val="00653FA9"/>
    <w:rsid w:val="006564E6"/>
    <w:rsid w:val="00663905"/>
    <w:rsid w:val="00675D40"/>
    <w:rsid w:val="00676D1B"/>
    <w:rsid w:val="00685DA0"/>
    <w:rsid w:val="00686D62"/>
    <w:rsid w:val="00687A69"/>
    <w:rsid w:val="00695330"/>
    <w:rsid w:val="0069578A"/>
    <w:rsid w:val="0069795A"/>
    <w:rsid w:val="006A2C69"/>
    <w:rsid w:val="006A5B6A"/>
    <w:rsid w:val="006A7CEB"/>
    <w:rsid w:val="006B160D"/>
    <w:rsid w:val="006B3330"/>
    <w:rsid w:val="006B614C"/>
    <w:rsid w:val="006B77B9"/>
    <w:rsid w:val="006C2BF1"/>
    <w:rsid w:val="006D589B"/>
    <w:rsid w:val="006F0ABF"/>
    <w:rsid w:val="006F1362"/>
    <w:rsid w:val="006F39FA"/>
    <w:rsid w:val="006F3E54"/>
    <w:rsid w:val="00700A71"/>
    <w:rsid w:val="00702502"/>
    <w:rsid w:val="00702541"/>
    <w:rsid w:val="00712551"/>
    <w:rsid w:val="00712E69"/>
    <w:rsid w:val="00714E32"/>
    <w:rsid w:val="007224CE"/>
    <w:rsid w:val="007300E9"/>
    <w:rsid w:val="00734FE4"/>
    <w:rsid w:val="00740B0D"/>
    <w:rsid w:val="0074210C"/>
    <w:rsid w:val="007510AD"/>
    <w:rsid w:val="00757588"/>
    <w:rsid w:val="007631AC"/>
    <w:rsid w:val="00770787"/>
    <w:rsid w:val="00776DC8"/>
    <w:rsid w:val="0077787D"/>
    <w:rsid w:val="00790C4F"/>
    <w:rsid w:val="0079178D"/>
    <w:rsid w:val="0079722A"/>
    <w:rsid w:val="007A4F9E"/>
    <w:rsid w:val="007B1761"/>
    <w:rsid w:val="007B33D0"/>
    <w:rsid w:val="007B6163"/>
    <w:rsid w:val="007D701B"/>
    <w:rsid w:val="007E2506"/>
    <w:rsid w:val="007E558F"/>
    <w:rsid w:val="007F286F"/>
    <w:rsid w:val="008019C6"/>
    <w:rsid w:val="008118ED"/>
    <w:rsid w:val="00815405"/>
    <w:rsid w:val="00825043"/>
    <w:rsid w:val="008260AA"/>
    <w:rsid w:val="00826C48"/>
    <w:rsid w:val="00832399"/>
    <w:rsid w:val="00850049"/>
    <w:rsid w:val="0085354D"/>
    <w:rsid w:val="00860679"/>
    <w:rsid w:val="00862266"/>
    <w:rsid w:val="008663A7"/>
    <w:rsid w:val="0086785E"/>
    <w:rsid w:val="008705FF"/>
    <w:rsid w:val="00873E48"/>
    <w:rsid w:val="00875F1D"/>
    <w:rsid w:val="00877495"/>
    <w:rsid w:val="00885156"/>
    <w:rsid w:val="00890106"/>
    <w:rsid w:val="00893D49"/>
    <w:rsid w:val="008A466F"/>
    <w:rsid w:val="008A4886"/>
    <w:rsid w:val="008B0C49"/>
    <w:rsid w:val="008B30D9"/>
    <w:rsid w:val="008B724C"/>
    <w:rsid w:val="008C285F"/>
    <w:rsid w:val="008D2DF3"/>
    <w:rsid w:val="008D54BF"/>
    <w:rsid w:val="008D7722"/>
    <w:rsid w:val="008D78BC"/>
    <w:rsid w:val="008E3981"/>
    <w:rsid w:val="008E48E4"/>
    <w:rsid w:val="008E6340"/>
    <w:rsid w:val="008F3D0F"/>
    <w:rsid w:val="008F42DE"/>
    <w:rsid w:val="009026B0"/>
    <w:rsid w:val="00905378"/>
    <w:rsid w:val="00917E51"/>
    <w:rsid w:val="009222D1"/>
    <w:rsid w:val="00925236"/>
    <w:rsid w:val="00925BA6"/>
    <w:rsid w:val="00925D3A"/>
    <w:rsid w:val="00942667"/>
    <w:rsid w:val="00946FB4"/>
    <w:rsid w:val="00954201"/>
    <w:rsid w:val="00955B29"/>
    <w:rsid w:val="00956743"/>
    <w:rsid w:val="00957125"/>
    <w:rsid w:val="009576A8"/>
    <w:rsid w:val="00962DA3"/>
    <w:rsid w:val="00965953"/>
    <w:rsid w:val="00967E93"/>
    <w:rsid w:val="009915F1"/>
    <w:rsid w:val="009A280A"/>
    <w:rsid w:val="009D107B"/>
    <w:rsid w:val="009D49C6"/>
    <w:rsid w:val="009E00ED"/>
    <w:rsid w:val="009E2C6F"/>
    <w:rsid w:val="009F0B91"/>
    <w:rsid w:val="009F40A8"/>
    <w:rsid w:val="00A031D5"/>
    <w:rsid w:val="00A13283"/>
    <w:rsid w:val="00A308D7"/>
    <w:rsid w:val="00A32AB5"/>
    <w:rsid w:val="00A36636"/>
    <w:rsid w:val="00A43442"/>
    <w:rsid w:val="00A5242B"/>
    <w:rsid w:val="00A54E10"/>
    <w:rsid w:val="00A6039C"/>
    <w:rsid w:val="00A612AB"/>
    <w:rsid w:val="00A6351D"/>
    <w:rsid w:val="00A750FF"/>
    <w:rsid w:val="00A76B3F"/>
    <w:rsid w:val="00A8187E"/>
    <w:rsid w:val="00A8292A"/>
    <w:rsid w:val="00A84ADD"/>
    <w:rsid w:val="00A85D9E"/>
    <w:rsid w:val="00A9262B"/>
    <w:rsid w:val="00A9368E"/>
    <w:rsid w:val="00A93EDC"/>
    <w:rsid w:val="00A95342"/>
    <w:rsid w:val="00AA11C5"/>
    <w:rsid w:val="00AA3025"/>
    <w:rsid w:val="00AB412C"/>
    <w:rsid w:val="00AB50BC"/>
    <w:rsid w:val="00AD302B"/>
    <w:rsid w:val="00AE3723"/>
    <w:rsid w:val="00AE7FC9"/>
    <w:rsid w:val="00AF51D8"/>
    <w:rsid w:val="00B03C7B"/>
    <w:rsid w:val="00B05090"/>
    <w:rsid w:val="00B051DB"/>
    <w:rsid w:val="00B112D9"/>
    <w:rsid w:val="00B124DA"/>
    <w:rsid w:val="00B1264B"/>
    <w:rsid w:val="00B15CB7"/>
    <w:rsid w:val="00B16D6E"/>
    <w:rsid w:val="00B22310"/>
    <w:rsid w:val="00B266BA"/>
    <w:rsid w:val="00B31B48"/>
    <w:rsid w:val="00B322AE"/>
    <w:rsid w:val="00B32E46"/>
    <w:rsid w:val="00B4416E"/>
    <w:rsid w:val="00B464F8"/>
    <w:rsid w:val="00B62723"/>
    <w:rsid w:val="00B66FE9"/>
    <w:rsid w:val="00B72ED1"/>
    <w:rsid w:val="00B740A4"/>
    <w:rsid w:val="00B852C9"/>
    <w:rsid w:val="00B87FF2"/>
    <w:rsid w:val="00B91B88"/>
    <w:rsid w:val="00B96304"/>
    <w:rsid w:val="00BA4642"/>
    <w:rsid w:val="00BA4E8A"/>
    <w:rsid w:val="00BA6D5B"/>
    <w:rsid w:val="00BB69A5"/>
    <w:rsid w:val="00BC1128"/>
    <w:rsid w:val="00BD0877"/>
    <w:rsid w:val="00BD5BD5"/>
    <w:rsid w:val="00BE4EA5"/>
    <w:rsid w:val="00BE7186"/>
    <w:rsid w:val="00BE7E4B"/>
    <w:rsid w:val="00BF217E"/>
    <w:rsid w:val="00C058F2"/>
    <w:rsid w:val="00C07F79"/>
    <w:rsid w:val="00C10663"/>
    <w:rsid w:val="00C178B2"/>
    <w:rsid w:val="00C25243"/>
    <w:rsid w:val="00C41430"/>
    <w:rsid w:val="00C51637"/>
    <w:rsid w:val="00C522E5"/>
    <w:rsid w:val="00C6564F"/>
    <w:rsid w:val="00C65AB6"/>
    <w:rsid w:val="00C7314B"/>
    <w:rsid w:val="00C864A1"/>
    <w:rsid w:val="00C9079A"/>
    <w:rsid w:val="00C925F6"/>
    <w:rsid w:val="00CA28A9"/>
    <w:rsid w:val="00CA2D02"/>
    <w:rsid w:val="00CA5E3A"/>
    <w:rsid w:val="00CA7301"/>
    <w:rsid w:val="00CB0B3F"/>
    <w:rsid w:val="00CB0FBB"/>
    <w:rsid w:val="00CD343A"/>
    <w:rsid w:val="00CE0213"/>
    <w:rsid w:val="00CE05AE"/>
    <w:rsid w:val="00CE0ECB"/>
    <w:rsid w:val="00CE4329"/>
    <w:rsid w:val="00CE52BD"/>
    <w:rsid w:val="00CE54A4"/>
    <w:rsid w:val="00CE585F"/>
    <w:rsid w:val="00CF3CEB"/>
    <w:rsid w:val="00CF62E7"/>
    <w:rsid w:val="00D034A4"/>
    <w:rsid w:val="00D21DCF"/>
    <w:rsid w:val="00D24697"/>
    <w:rsid w:val="00D24DB4"/>
    <w:rsid w:val="00D2660F"/>
    <w:rsid w:val="00D276A1"/>
    <w:rsid w:val="00D3042C"/>
    <w:rsid w:val="00D347EF"/>
    <w:rsid w:val="00D35180"/>
    <w:rsid w:val="00D36565"/>
    <w:rsid w:val="00D537CA"/>
    <w:rsid w:val="00D53969"/>
    <w:rsid w:val="00D545E1"/>
    <w:rsid w:val="00D57DBF"/>
    <w:rsid w:val="00D646AC"/>
    <w:rsid w:val="00D7209A"/>
    <w:rsid w:val="00D735FB"/>
    <w:rsid w:val="00D7679D"/>
    <w:rsid w:val="00D84C64"/>
    <w:rsid w:val="00D93C9C"/>
    <w:rsid w:val="00DA2FF8"/>
    <w:rsid w:val="00DA42F3"/>
    <w:rsid w:val="00DB2967"/>
    <w:rsid w:val="00DB3951"/>
    <w:rsid w:val="00DB63E7"/>
    <w:rsid w:val="00DC3D68"/>
    <w:rsid w:val="00DD4256"/>
    <w:rsid w:val="00DE4CA9"/>
    <w:rsid w:val="00DE765D"/>
    <w:rsid w:val="00DF58A0"/>
    <w:rsid w:val="00E06820"/>
    <w:rsid w:val="00E10465"/>
    <w:rsid w:val="00E17E9B"/>
    <w:rsid w:val="00E21BAF"/>
    <w:rsid w:val="00E37614"/>
    <w:rsid w:val="00E407B6"/>
    <w:rsid w:val="00E42D41"/>
    <w:rsid w:val="00E4548D"/>
    <w:rsid w:val="00E46A48"/>
    <w:rsid w:val="00E54589"/>
    <w:rsid w:val="00E54BE5"/>
    <w:rsid w:val="00E564A4"/>
    <w:rsid w:val="00E57F34"/>
    <w:rsid w:val="00E6375F"/>
    <w:rsid w:val="00E72641"/>
    <w:rsid w:val="00E754C9"/>
    <w:rsid w:val="00E96B75"/>
    <w:rsid w:val="00EA46F2"/>
    <w:rsid w:val="00EB1D8A"/>
    <w:rsid w:val="00EB1E42"/>
    <w:rsid w:val="00EB3297"/>
    <w:rsid w:val="00EB3C9F"/>
    <w:rsid w:val="00EE427D"/>
    <w:rsid w:val="00EE6E68"/>
    <w:rsid w:val="00EF3ED7"/>
    <w:rsid w:val="00EF7A4F"/>
    <w:rsid w:val="00F03E31"/>
    <w:rsid w:val="00F0527C"/>
    <w:rsid w:val="00F07C37"/>
    <w:rsid w:val="00F13252"/>
    <w:rsid w:val="00F161A4"/>
    <w:rsid w:val="00F30D4A"/>
    <w:rsid w:val="00F54272"/>
    <w:rsid w:val="00F601D1"/>
    <w:rsid w:val="00F71DCB"/>
    <w:rsid w:val="00F826A1"/>
    <w:rsid w:val="00F846A5"/>
    <w:rsid w:val="00F95793"/>
    <w:rsid w:val="00FA1D95"/>
    <w:rsid w:val="00FA61E3"/>
    <w:rsid w:val="00FA795E"/>
    <w:rsid w:val="00FB29D9"/>
    <w:rsid w:val="00FB7EB6"/>
    <w:rsid w:val="00FC0BEF"/>
    <w:rsid w:val="00FC31D0"/>
    <w:rsid w:val="00FD543D"/>
    <w:rsid w:val="00FF1095"/>
    <w:rsid w:val="00FF31DF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CE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FA"/>
    <w:pPr>
      <w:spacing w:after="200" w:line="276" w:lineRule="auto"/>
    </w:pPr>
    <w:rPr>
      <w:rFonts w:eastAsiaTheme="minorEastAsia"/>
      <w:sz w:val="22"/>
      <w:szCs w:val="22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CB"/>
    <w:pPr>
      <w:keepNext/>
      <w:keepLines/>
      <w:spacing w:before="480" w:after="0" w:line="360" w:lineRule="auto"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CB"/>
    <w:pPr>
      <w:keepNext/>
      <w:keepLines/>
      <w:spacing w:before="200" w:after="0" w:line="360" w:lineRule="auto"/>
      <w:outlineLvl w:val="1"/>
    </w:pPr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CB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CE0ECB"/>
    <w:rPr>
      <w:rFonts w:ascii="Cambria" w:eastAsiaTheme="majorEastAsia" w:hAnsi="Cambria" w:cstheme="majorBidi"/>
      <w:b/>
      <w:bCs/>
      <w:color w:val="5B9BD5" w:themeColor="accent1"/>
      <w:sz w:val="26"/>
      <w:szCs w:val="26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CE0ECB"/>
    <w:rPr>
      <w:rFonts w:asciiTheme="majorHAnsi" w:eastAsiaTheme="majorEastAsia" w:hAnsiTheme="majorHAnsi" w:cstheme="majorBidi"/>
      <w:b/>
      <w:bCs/>
      <w:i/>
      <w:color w:val="5B9BD5" w:themeColor="accent1"/>
      <w:lang w:val="en-GB" w:eastAsia="zh-TW"/>
    </w:rPr>
  </w:style>
  <w:style w:type="paragraph" w:styleId="NoSpacing">
    <w:name w:val="No Spacing"/>
    <w:uiPriority w:val="1"/>
    <w:qFormat/>
    <w:rsid w:val="005104FA"/>
    <w:rPr>
      <w:rFonts w:eastAsiaTheme="minorEastAsia"/>
      <w:sz w:val="22"/>
      <w:szCs w:val="22"/>
      <w:lang w:val="en-GB" w:eastAsia="zh-TW"/>
    </w:rPr>
  </w:style>
  <w:style w:type="paragraph" w:styleId="ListParagraph">
    <w:name w:val="List Paragraph"/>
    <w:basedOn w:val="Normal"/>
    <w:uiPriority w:val="34"/>
    <w:qFormat/>
    <w:rsid w:val="00510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4FA"/>
    <w:rPr>
      <w:rFonts w:eastAsiaTheme="minorEastAsia"/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510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4FA"/>
    <w:rPr>
      <w:rFonts w:eastAsiaTheme="minorEastAsia"/>
      <w:sz w:val="22"/>
      <w:szCs w:val="22"/>
      <w:lang w:val="en-GB" w:eastAsia="zh-TW"/>
    </w:r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C4143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C41430"/>
    <w:rPr>
      <w:rFonts w:ascii="Calibri" w:eastAsia="Calibri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C4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4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30"/>
    <w:rPr>
      <w:rFonts w:ascii="Times New Roman" w:eastAsiaTheme="minorEastAsia" w:hAnsi="Times New Roman" w:cs="Times New Roman"/>
      <w:sz w:val="18"/>
      <w:szCs w:val="18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CE585F"/>
    <w:rPr>
      <w:color w:val="0000FF"/>
      <w:u w:val="single"/>
    </w:rPr>
  </w:style>
  <w:style w:type="character" w:customStyle="1" w:styleId="pureauthor">
    <w:name w:val="pure_author"/>
    <w:basedOn w:val="DefaultParagraphFont"/>
    <w:rsid w:val="000B4EB8"/>
  </w:style>
  <w:style w:type="paragraph" w:styleId="EndnoteText">
    <w:name w:val="endnote text"/>
    <w:basedOn w:val="Normal"/>
    <w:link w:val="EndnoteTextChar"/>
    <w:uiPriority w:val="99"/>
    <w:rsid w:val="000B4E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B4EB8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1C0A6E"/>
  </w:style>
  <w:style w:type="character" w:styleId="Emphasis">
    <w:name w:val="Emphasis"/>
    <w:basedOn w:val="DefaultParagraphFont"/>
    <w:uiPriority w:val="20"/>
    <w:qFormat/>
    <w:rsid w:val="00866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FADD-52AB-4B48-B18F-17E46FF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965</Words>
  <Characters>5502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2017-09-04T17:43:00Z</dcterms:created>
  <dcterms:modified xsi:type="dcterms:W3CDTF">2017-09-04T17:45:00Z</dcterms:modified>
</cp:coreProperties>
</file>