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60" w:rsidRPr="00517F91" w:rsidRDefault="00F86D60" w:rsidP="00F86D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>Н.Г.Хмелевская</w:t>
      </w:r>
    </w:p>
    <w:p w:rsidR="00F86D60" w:rsidRPr="00517F91" w:rsidRDefault="00F86D60" w:rsidP="00F86D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 xml:space="preserve"> к.э.н., доцент кафедры </w:t>
      </w:r>
    </w:p>
    <w:p w:rsidR="00F86D60" w:rsidRPr="00517F91" w:rsidRDefault="00F86D60" w:rsidP="00F86D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>МЭО и ВЭС МИГИМО (У)</w:t>
      </w:r>
    </w:p>
    <w:p w:rsidR="00F86D60" w:rsidRPr="00517F91" w:rsidRDefault="00F86D60" w:rsidP="00F86D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 xml:space="preserve"> МИД России </w:t>
      </w:r>
    </w:p>
    <w:p w:rsidR="00F86D60" w:rsidRDefault="00F86D60" w:rsidP="00F86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D60" w:rsidRPr="00D26D24" w:rsidRDefault="00F86D60" w:rsidP="00F86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D24">
        <w:rPr>
          <w:rFonts w:ascii="Times New Roman" w:hAnsi="Times New Roman"/>
          <w:b/>
          <w:sz w:val="28"/>
          <w:szCs w:val="28"/>
        </w:rPr>
        <w:t>Региональная торговая интеграция как опора глобальной конкурентоспособности стран Латинской Америки»</w:t>
      </w:r>
    </w:p>
    <w:p w:rsidR="00F86D60" w:rsidRPr="00D26D24" w:rsidRDefault="00F86D60" w:rsidP="00F86D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D60" w:rsidRPr="005E7E15" w:rsidRDefault="00F86D60" w:rsidP="00F86D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6D24">
        <w:rPr>
          <w:rFonts w:ascii="Times New Roman" w:hAnsi="Times New Roman"/>
          <w:sz w:val="28"/>
          <w:szCs w:val="28"/>
        </w:rPr>
        <w:t>Согласно прогнозам международных организаций, в 2014 г</w:t>
      </w:r>
      <w:r>
        <w:rPr>
          <w:rFonts w:ascii="Times New Roman" w:hAnsi="Times New Roman"/>
          <w:sz w:val="28"/>
          <w:szCs w:val="28"/>
        </w:rPr>
        <w:t>.</w:t>
      </w:r>
      <w:r w:rsidRPr="00D26D24">
        <w:rPr>
          <w:rFonts w:ascii="Times New Roman" w:hAnsi="Times New Roman"/>
          <w:sz w:val="28"/>
          <w:szCs w:val="28"/>
        </w:rPr>
        <w:t xml:space="preserve"> у стран Латинской Америки есть все шансы успешного выхода на траекторию экономического роста и укрепления конкурентоспособности. По расчетам ЭКЛАК, в 2014-2015 гг. рост в регионе прогнозируются на уровне в 3,2% (</w:t>
      </w:r>
      <w:r w:rsidRPr="005E7E15">
        <w:rPr>
          <w:rFonts w:ascii="Times New Roman CYR" w:hAnsi="Times New Roman CYR" w:cs="Times New Roman CYR"/>
          <w:sz w:val="28"/>
          <w:szCs w:val="28"/>
        </w:rPr>
        <w:t>в прошлом году это было 2,6%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5E7E15">
        <w:rPr>
          <w:rFonts w:ascii="Times New Roman CYR" w:hAnsi="Times New Roman CYR" w:cs="Times New Roman CYR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потенциалом</w:t>
      </w:r>
      <w:r w:rsidRPr="005E7E1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5E7E15">
        <w:rPr>
          <w:rFonts w:ascii="Times New Roman CYR" w:hAnsi="Times New Roman CYR" w:cs="Times New Roman CYR"/>
          <w:sz w:val="28"/>
          <w:szCs w:val="28"/>
        </w:rPr>
        <w:t>3,7% в 2016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5E7E15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5E7E15">
        <w:rPr>
          <w:rFonts w:ascii="Times New Roman" w:hAnsi="Times New Roman"/>
          <w:sz w:val="28"/>
          <w:szCs w:val="28"/>
        </w:rPr>
        <w:t>World Bank, 2014</w:t>
      </w:r>
      <w:r w:rsidRPr="005E7E15">
        <w:rPr>
          <w:rFonts w:ascii="Times New Roman CYR" w:hAnsi="Times New Roman CYR" w:cs="Times New Roman CYR"/>
          <w:sz w:val="28"/>
          <w:szCs w:val="28"/>
        </w:rPr>
        <w:t>). При этом самые высокие темпы прироста ВПП в 2014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5E7E15">
        <w:rPr>
          <w:rFonts w:ascii="Times New Roman CYR" w:hAnsi="Times New Roman CYR" w:cs="Times New Roman CYR"/>
          <w:sz w:val="28"/>
          <w:szCs w:val="28"/>
        </w:rPr>
        <w:t xml:space="preserve"> ожидаются в Мексике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5E7E15">
        <w:rPr>
          <w:rFonts w:ascii="Times New Roman CYR" w:hAnsi="Times New Roman CYR" w:cs="Times New Roman CYR"/>
          <w:sz w:val="28"/>
          <w:szCs w:val="28"/>
        </w:rPr>
        <w:t xml:space="preserve"> 3,4%, Колумбии 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5E7E15">
        <w:rPr>
          <w:rFonts w:ascii="Times New Roman CYR" w:hAnsi="Times New Roman CYR" w:cs="Times New Roman CYR"/>
          <w:sz w:val="28"/>
          <w:szCs w:val="28"/>
        </w:rPr>
        <w:t xml:space="preserve"> 4,3%-4,5%, Эквадоре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5E7E15">
        <w:rPr>
          <w:rFonts w:ascii="Times New Roman CYR" w:hAnsi="Times New Roman CYR" w:cs="Times New Roman CYR"/>
          <w:sz w:val="28"/>
          <w:szCs w:val="28"/>
        </w:rPr>
        <w:t xml:space="preserve"> 4,5%, Боливии – 4,7%-5%, Перу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5E7E15">
        <w:rPr>
          <w:rFonts w:ascii="Times New Roman CYR" w:hAnsi="Times New Roman CYR" w:cs="Times New Roman CYR"/>
          <w:sz w:val="28"/>
          <w:szCs w:val="28"/>
        </w:rPr>
        <w:t xml:space="preserve"> 5,5%,</w:t>
      </w:r>
      <w:r>
        <w:rPr>
          <w:rFonts w:ascii="Times New Roman CYR" w:hAnsi="Times New Roman CYR" w:cs="Times New Roman CYR"/>
          <w:sz w:val="28"/>
          <w:szCs w:val="28"/>
        </w:rPr>
        <w:t xml:space="preserve"> Чили – 5%</w:t>
      </w:r>
      <w:r w:rsidRPr="005E7E15">
        <w:rPr>
          <w:rFonts w:ascii="Times New Roman CYR" w:hAnsi="Times New Roman CYR" w:cs="Times New Roman CYR"/>
          <w:sz w:val="28"/>
          <w:szCs w:val="28"/>
        </w:rPr>
        <w:t xml:space="preserve"> (CEPAL, </w:t>
      </w:r>
      <w:r w:rsidRPr="005E7E15">
        <w:rPr>
          <w:rFonts w:ascii="Times New Roman" w:hAnsi="Times New Roman"/>
          <w:sz w:val="28"/>
          <w:szCs w:val="28"/>
        </w:rPr>
        <w:t>World Bank, 2014</w:t>
      </w:r>
      <w:r w:rsidRPr="005E7E15">
        <w:rPr>
          <w:rFonts w:ascii="Times New Roman CYR" w:hAnsi="Times New Roman CYR" w:cs="Times New Roman CYR"/>
          <w:sz w:val="28"/>
          <w:szCs w:val="28"/>
        </w:rPr>
        <w:t>), умеренные – в Аргентине и Бразилии (2,8% и 2,4% соответственно)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86D60" w:rsidRPr="00D26D24" w:rsidRDefault="00F86D60" w:rsidP="00F86D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одних</w:t>
      </w:r>
      <w:r w:rsidRPr="005E7E15">
        <w:rPr>
          <w:rFonts w:ascii="Times New Roman CYR" w:hAnsi="Times New Roman CYR" w:cs="Times New Roman CYR"/>
          <w:sz w:val="28"/>
          <w:szCs w:val="28"/>
        </w:rPr>
        <w:t xml:space="preserve"> стран региона с</w:t>
      </w:r>
      <w:r>
        <w:rPr>
          <w:rFonts w:ascii="Times New Roman CYR" w:hAnsi="Times New Roman CYR" w:cs="Times New Roman CYR"/>
          <w:sz w:val="28"/>
          <w:szCs w:val="28"/>
        </w:rPr>
        <w:t>воего рода</w:t>
      </w:r>
      <w:r w:rsidRPr="005E7E15">
        <w:rPr>
          <w:rFonts w:ascii="Times New Roman CYR" w:hAnsi="Times New Roman CYR" w:cs="Times New Roman CYR"/>
          <w:sz w:val="28"/>
          <w:szCs w:val="28"/>
        </w:rPr>
        <w:t xml:space="preserve"> локомотивом роста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5E7E15">
        <w:rPr>
          <w:rFonts w:ascii="Times New Roman CYR" w:hAnsi="Times New Roman CYR" w:cs="Times New Roman CYR"/>
          <w:sz w:val="28"/>
          <w:szCs w:val="28"/>
        </w:rPr>
        <w:t xml:space="preserve"> стать торговля – «экономики Бразилии и Меркосур будут развиваться более высокими темпами благодаря увеличению экспорта» (</w:t>
      </w:r>
      <w:r w:rsidRPr="005E7E15">
        <w:rPr>
          <w:rFonts w:ascii="Times New Roman" w:hAnsi="Times New Roman"/>
          <w:sz w:val="28"/>
          <w:szCs w:val="28"/>
        </w:rPr>
        <w:t>World Bank, 2014</w:t>
      </w:r>
      <w:r w:rsidRPr="005E7E15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ля других – иностранные инвестиции </w:t>
      </w:r>
      <w:r w:rsidRPr="005E7E15">
        <w:rPr>
          <w:rFonts w:ascii="Times New Roman" w:hAnsi="Times New Roman"/>
          <w:sz w:val="28"/>
          <w:szCs w:val="28"/>
        </w:rPr>
        <w:t>(Мексика, Колумбия, Перу и Чили</w:t>
      </w:r>
      <w:r>
        <w:rPr>
          <w:rFonts w:ascii="Times New Roman" w:hAnsi="Times New Roman"/>
          <w:sz w:val="28"/>
          <w:szCs w:val="28"/>
        </w:rPr>
        <w:t>),</w:t>
      </w:r>
      <w:r w:rsidRPr="005E7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Morgan Stanley,</w:t>
      </w:r>
      <w:r w:rsidRPr="005E7E15">
        <w:rPr>
          <w:rFonts w:ascii="Times New Roman" w:hAnsi="Times New Roman"/>
          <w:sz w:val="28"/>
          <w:szCs w:val="28"/>
        </w:rPr>
        <w:t xml:space="preserve"> 2014)</w:t>
      </w:r>
      <w:r>
        <w:rPr>
          <w:rFonts w:ascii="Times New Roman" w:hAnsi="Times New Roman"/>
          <w:sz w:val="28"/>
          <w:szCs w:val="28"/>
        </w:rPr>
        <w:t>)</w:t>
      </w:r>
      <w:r w:rsidRPr="005E7E15">
        <w:rPr>
          <w:rFonts w:ascii="Times New Roman" w:hAnsi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этой связи закономерно </w:t>
      </w:r>
      <w:r>
        <w:rPr>
          <w:rFonts w:ascii="Times New Roman" w:hAnsi="Times New Roman"/>
          <w:sz w:val="28"/>
          <w:szCs w:val="28"/>
        </w:rPr>
        <w:t>возникает вопрос о том, какими параметрами должна характеризоваться</w:t>
      </w:r>
      <w:r w:rsidRPr="005E7E15">
        <w:rPr>
          <w:rFonts w:ascii="Times New Roman" w:hAnsi="Times New Roman"/>
          <w:sz w:val="28"/>
          <w:szCs w:val="28"/>
        </w:rPr>
        <w:t xml:space="preserve"> торговая интеграция</w:t>
      </w:r>
      <w:r>
        <w:rPr>
          <w:rFonts w:ascii="Times New Roman" w:hAnsi="Times New Roman"/>
          <w:sz w:val="28"/>
          <w:szCs w:val="28"/>
        </w:rPr>
        <w:t xml:space="preserve"> для того</w:t>
      </w:r>
      <w:r w:rsidRPr="005E7E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стать таким локомотивом – </w:t>
      </w:r>
      <w:r w:rsidRPr="00D26D24">
        <w:rPr>
          <w:rFonts w:ascii="Times New Roman" w:hAnsi="Times New Roman"/>
          <w:sz w:val="28"/>
          <w:szCs w:val="28"/>
        </w:rPr>
        <w:t xml:space="preserve">с точки зрения равномерности развития региональных торговых связей как залога асинхронных реакции национальных экономик на внешние шоки и структурных особенностей взаимной торговли, отвечающих задачам удержания конкурентных преимуществ. </w:t>
      </w:r>
    </w:p>
    <w:p w:rsidR="00F86D60" w:rsidRDefault="00F86D60" w:rsidP="00F86D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Меркосур, где при</w:t>
      </w:r>
      <w:r w:rsidRPr="008D7D9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утствует ярко выраженный лидер, </w:t>
      </w:r>
      <w:r w:rsidRPr="008D7D94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взаимная торговля имеет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</w:t>
      </w:r>
      <w:r w:rsidRPr="008D7D9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олее неравномерно распределенный</w:t>
      </w:r>
      <w:r w:rsidRPr="008D7D94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более 60% всех торговых потоков сосредоточено на Бразилии. </w:t>
      </w:r>
      <w:r>
        <w:rPr>
          <w:rFonts w:ascii="Times New Roman" w:hAnsi="Times New Roman"/>
          <w:sz w:val="28"/>
          <w:szCs w:val="28"/>
        </w:rPr>
        <w:t>В условиях неблагоприятной внешнеторговой конъюнктуры такая высокая концентрация торговых потоков на одном участнике интеграционного объединения неизбежно 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анслирует</w:t>
      </w:r>
      <w:r w:rsidRPr="003A6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шоки на всех остальных. Это наглядно демонстрировал и кризис 2008-2010 гг., и глобальная турбулентность 2013 г., когда за снижением экспорта Бразилии следовало практически синхронное падение темпов роста внешней торговли всех стран-членов Меркосур, и как следствие, замедление их экономического роста. И особенно ощутимым этот так называемый «эффект домино» становится в условиях высокой структурной связанности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товарных потоков участников торговых блоков.</w:t>
      </w:r>
    </w:p>
    <w:p w:rsidR="00F86D60" w:rsidRPr="00DF2B00" w:rsidRDefault="00F86D60" w:rsidP="00F86D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B0C75">
        <w:rPr>
          <w:rFonts w:ascii="Times New Roman" w:hAnsi="Times New Roman"/>
          <w:sz w:val="28"/>
          <w:szCs w:val="28"/>
        </w:rPr>
        <w:lastRenderedPageBreak/>
        <w:t xml:space="preserve">В докладе о глобальной конкурентоспособности ВЭФ за 2013-2014 гг. (Global Competitiveness Report) отмечается, что по уровню </w:t>
      </w:r>
      <w:r>
        <w:rPr>
          <w:rFonts w:ascii="Times New Roman" w:hAnsi="Times New Roman"/>
          <w:sz w:val="28"/>
          <w:szCs w:val="28"/>
        </w:rPr>
        <w:t xml:space="preserve">общей </w:t>
      </w:r>
      <w:r w:rsidRPr="00EB0C75">
        <w:rPr>
          <w:rFonts w:ascii="Times New Roman" w:hAnsi="Times New Roman"/>
          <w:sz w:val="28"/>
          <w:szCs w:val="28"/>
        </w:rPr>
        <w:t>открыт</w:t>
      </w:r>
      <w:r>
        <w:rPr>
          <w:rFonts w:ascii="Times New Roman" w:hAnsi="Times New Roman"/>
          <w:sz w:val="28"/>
          <w:szCs w:val="28"/>
        </w:rPr>
        <w:t>ости экономики региона также раз</w:t>
      </w:r>
      <w:r w:rsidRPr="00EB0C75">
        <w:rPr>
          <w:rFonts w:ascii="Times New Roman" w:hAnsi="Times New Roman"/>
          <w:sz w:val="28"/>
          <w:szCs w:val="28"/>
        </w:rPr>
        <w:t xml:space="preserve">нородны. И если в большинстве стран региона общий уровень открытости экономики достаточно высокий и превышает 30% ВВП как по импорту, так и по экспорту (Боливия, Эквадор, Чили, Мексика), то в Бразилии (13% и 11,7%) и Аргентине (18,1% и 20,1%) он весьма незначителен. К этой же группе стран относится и Колумбия (19% и 18%). Участие 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EB0C75">
        <w:rPr>
          <w:rFonts w:ascii="Times New Roman" w:hAnsi="Times New Roman"/>
          <w:sz w:val="28"/>
          <w:szCs w:val="28"/>
        </w:rPr>
        <w:t>в торговых блоках и соглашениях может отчасти это компенсировать.</w:t>
      </w:r>
      <w:r w:rsidRPr="00EB0C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Поэтому наблюдаемый за последнее десятилетие рост</w:t>
      </w:r>
      <w:r w:rsidRPr="00EB0C7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нтенсивности</w:t>
      </w:r>
      <w:r w:rsidRPr="00EB0C75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региональной торговли – по экспорту в Тихоокеанском альянсе 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достигает</w:t>
      </w:r>
      <w:r w:rsidRPr="00EB0C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</w:t>
      </w:r>
      <w:r w:rsidRPr="00EB0C75">
        <w:rPr>
          <w:rFonts w:ascii="Times New Roman" w:eastAsia="Times New Roman" w:hAnsi="Times New Roman"/>
          <w:sz w:val="28"/>
          <w:szCs w:val="28"/>
          <w:lang w:eastAsia="ru-RU"/>
        </w:rPr>
        <w:t xml:space="preserve">1.17, а в Меркосур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B0C75">
        <w:rPr>
          <w:rFonts w:ascii="Times New Roman" w:eastAsia="Times New Roman" w:hAnsi="Times New Roman"/>
          <w:sz w:val="28"/>
          <w:szCs w:val="28"/>
          <w:lang w:eastAsia="ru-RU"/>
        </w:rPr>
        <w:t>9.34 без учета экспорта Парагвая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B0C75">
        <w:rPr>
          <w:rFonts w:ascii="Times New Roman" w:eastAsia="Times New Roman" w:hAnsi="Times New Roman"/>
          <w:sz w:val="28"/>
          <w:szCs w:val="28"/>
          <w:lang w:eastAsia="ru-RU"/>
        </w:rPr>
        <w:t>в 2003 года это было 9.14). Для сравнения в НАФТА – ее значение близко к 3, ЕС – к 2 пунктам (по статистике 2013г.).</w:t>
      </w:r>
      <w:r w:rsidRPr="00EB0C75">
        <w:rPr>
          <w:rStyle w:val="a5"/>
          <w:rFonts w:eastAsia="Times New Roman"/>
          <w:sz w:val="28"/>
          <w:szCs w:val="28"/>
          <w:lang w:eastAsia="ru-RU"/>
        </w:rPr>
        <w:footnoteReference w:id="1"/>
      </w:r>
      <w:r w:rsidRPr="00EB0C75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является ярким свидетельством того, что у стран-членов Меркосур теперь уже есть основания для того, чтобы использовать внутрирегиональную торговлю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2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400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примера, по данным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Национального института </w:t>
      </w:r>
      <w:r w:rsidRPr="0056400F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статистики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населения </w:t>
      </w:r>
      <w:r w:rsidRPr="0056400F">
        <w:rPr>
          <w:rFonts w:ascii="Times New Roman" w:eastAsia="Times New Roman" w:hAnsi="Times New Roman"/>
          <w:sz w:val="28"/>
          <w:szCs w:val="28"/>
          <w:lang w:eastAsia="ru-RU"/>
        </w:rPr>
        <w:t>Аргентины, страной назна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чения по каждой пятой </w:t>
      </w:r>
      <w:r w:rsidRPr="0056400F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экспортной операции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Аргентине </w:t>
      </w:r>
      <w:r w:rsidRPr="0056400F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выступает Бразилия,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лишь по </w:t>
      </w:r>
      <w:r w:rsidRPr="0056400F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пятнадцатой</w:t>
      </w:r>
      <w:r w:rsidRPr="0056400F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Китай или США. Из Бразилии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поступает 26% всего импорта</w:t>
      </w:r>
      <w:r w:rsidRPr="0056400F">
        <w:rPr>
          <w:rFonts w:ascii="Times New Roman" w:eastAsia="Times New Roman" w:hAnsi="Times New Roman"/>
          <w:sz w:val="28"/>
          <w:szCs w:val="28"/>
          <w:lang w:eastAsia="ru-RU"/>
        </w:rPr>
        <w:t>, что равнозначно общей доле Китая и США (</w:t>
      </w:r>
      <w:r w:rsidRPr="0056400F">
        <w:rPr>
          <w:rFonts w:ascii="Times New Roman" w:hAnsi="Times New Roman"/>
          <w:sz w:val="28"/>
          <w:szCs w:val="28"/>
          <w:lang w:val="en-US"/>
        </w:rPr>
        <w:t>National</w:t>
      </w:r>
      <w:r w:rsidRPr="0056400F">
        <w:rPr>
          <w:rFonts w:ascii="Times New Roman" w:hAnsi="Times New Roman"/>
          <w:sz w:val="28"/>
          <w:szCs w:val="28"/>
        </w:rPr>
        <w:t xml:space="preserve"> </w:t>
      </w:r>
      <w:r w:rsidRPr="0056400F">
        <w:rPr>
          <w:rFonts w:ascii="Times New Roman" w:hAnsi="Times New Roman"/>
          <w:sz w:val="28"/>
          <w:szCs w:val="28"/>
          <w:lang w:val="en-US"/>
        </w:rPr>
        <w:t>Institute</w:t>
      </w:r>
      <w:r w:rsidRPr="0056400F">
        <w:rPr>
          <w:rFonts w:ascii="Times New Roman" w:hAnsi="Times New Roman"/>
          <w:sz w:val="28"/>
          <w:szCs w:val="28"/>
        </w:rPr>
        <w:t xml:space="preserve"> </w:t>
      </w:r>
      <w:r w:rsidRPr="0056400F">
        <w:rPr>
          <w:rFonts w:ascii="Times New Roman" w:hAnsi="Times New Roman"/>
          <w:sz w:val="28"/>
          <w:szCs w:val="28"/>
          <w:lang w:val="en-US"/>
        </w:rPr>
        <w:t>of</w:t>
      </w:r>
      <w:r w:rsidRPr="0056400F">
        <w:rPr>
          <w:rFonts w:ascii="Times New Roman" w:hAnsi="Times New Roman"/>
          <w:sz w:val="28"/>
          <w:szCs w:val="28"/>
        </w:rPr>
        <w:t xml:space="preserve"> </w:t>
      </w:r>
      <w:r w:rsidRPr="0056400F">
        <w:rPr>
          <w:rFonts w:ascii="Times New Roman" w:hAnsi="Times New Roman"/>
          <w:sz w:val="28"/>
          <w:szCs w:val="28"/>
          <w:lang w:val="en-US"/>
        </w:rPr>
        <w:t>Statistics</w:t>
      </w:r>
      <w:r w:rsidRPr="0056400F">
        <w:rPr>
          <w:rFonts w:ascii="Times New Roman" w:hAnsi="Times New Roman"/>
          <w:sz w:val="28"/>
          <w:szCs w:val="28"/>
        </w:rPr>
        <w:t xml:space="preserve"> </w:t>
      </w:r>
      <w:r w:rsidRPr="0056400F">
        <w:rPr>
          <w:rFonts w:ascii="Times New Roman" w:hAnsi="Times New Roman"/>
          <w:sz w:val="28"/>
          <w:szCs w:val="28"/>
          <w:lang w:val="en-US"/>
        </w:rPr>
        <w:t>and</w:t>
      </w:r>
      <w:r w:rsidRPr="0056400F">
        <w:rPr>
          <w:rFonts w:ascii="Times New Roman" w:hAnsi="Times New Roman"/>
          <w:sz w:val="28"/>
          <w:szCs w:val="28"/>
        </w:rPr>
        <w:t xml:space="preserve"> </w:t>
      </w:r>
      <w:r w:rsidRPr="0056400F">
        <w:rPr>
          <w:rFonts w:ascii="Times New Roman" w:hAnsi="Times New Roman"/>
          <w:sz w:val="28"/>
          <w:szCs w:val="28"/>
          <w:lang w:val="en-US"/>
        </w:rPr>
        <w:t>Censuses</w:t>
      </w:r>
      <w:r w:rsidRPr="0056400F">
        <w:rPr>
          <w:rFonts w:ascii="Times New Roman" w:hAnsi="Times New Roman"/>
          <w:sz w:val="28"/>
          <w:szCs w:val="28"/>
        </w:rPr>
        <w:t xml:space="preserve">, </w:t>
      </w:r>
      <w:r w:rsidRPr="0056400F">
        <w:rPr>
          <w:rFonts w:ascii="Times New Roman" w:hAnsi="Times New Roman"/>
          <w:sz w:val="28"/>
          <w:szCs w:val="28"/>
          <w:lang w:val="en-US"/>
        </w:rPr>
        <w:t>Buenos</w:t>
      </w:r>
      <w:r w:rsidRPr="0056400F">
        <w:rPr>
          <w:rFonts w:ascii="Times New Roman" w:hAnsi="Times New Roman"/>
          <w:sz w:val="28"/>
          <w:szCs w:val="28"/>
        </w:rPr>
        <w:t xml:space="preserve"> </w:t>
      </w:r>
      <w:r w:rsidRPr="0056400F">
        <w:rPr>
          <w:rFonts w:ascii="Times New Roman" w:hAnsi="Times New Roman"/>
          <w:sz w:val="28"/>
          <w:szCs w:val="28"/>
          <w:lang w:val="en-US"/>
        </w:rPr>
        <w:t>Aires</w:t>
      </w:r>
      <w:r w:rsidRPr="0056400F">
        <w:rPr>
          <w:rFonts w:ascii="Times New Roman" w:hAnsi="Times New Roman"/>
          <w:sz w:val="28"/>
          <w:szCs w:val="28"/>
        </w:rPr>
        <w:t xml:space="preserve">, </w:t>
      </w:r>
      <w:r w:rsidRPr="0056400F">
        <w:rPr>
          <w:rFonts w:ascii="Times New Roman" w:hAnsi="Times New Roman"/>
          <w:sz w:val="28"/>
          <w:szCs w:val="28"/>
          <w:lang w:val="en-US"/>
        </w:rPr>
        <w:t>February</w:t>
      </w:r>
      <w:r w:rsidRPr="0056400F">
        <w:rPr>
          <w:rFonts w:ascii="Times New Roman" w:hAnsi="Times New Roman"/>
          <w:sz w:val="28"/>
          <w:szCs w:val="28"/>
        </w:rPr>
        <w:t xml:space="preserve"> 13 </w:t>
      </w:r>
      <w:r w:rsidRPr="0056400F">
        <w:rPr>
          <w:rFonts w:ascii="Times New Roman" w:hAnsi="Times New Roman"/>
          <w:sz w:val="28"/>
          <w:szCs w:val="28"/>
          <w:lang w:val="en-US"/>
        </w:rPr>
        <w:t>of</w:t>
      </w:r>
      <w:r w:rsidRPr="0056400F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>).</w:t>
      </w:r>
      <w:r>
        <w:rPr>
          <w:rStyle w:val="a5"/>
          <w:sz w:val="28"/>
          <w:szCs w:val="28"/>
        </w:rPr>
        <w:footnoteReference w:id="2"/>
      </w:r>
    </w:p>
    <w:p w:rsidR="00F86D60" w:rsidRDefault="00F86D60" w:rsidP="00F86D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</w:t>
      </w:r>
      <w:r w:rsidRPr="008B42F3">
        <w:rPr>
          <w:rFonts w:ascii="Times New Roman" w:hAnsi="Times New Roman"/>
          <w:sz w:val="28"/>
          <w:szCs w:val="28"/>
        </w:rPr>
        <w:t xml:space="preserve">акие впечатляющие результаты, безусловно, отражают те глубокие изменении, </w:t>
      </w:r>
      <w:r>
        <w:rPr>
          <w:rFonts w:ascii="Times New Roman" w:hAnsi="Times New Roman"/>
          <w:sz w:val="28"/>
          <w:szCs w:val="28"/>
        </w:rPr>
        <w:t>которые проистекают из полной отмены</w:t>
      </w:r>
      <w:r w:rsidRPr="008B42F3">
        <w:rPr>
          <w:rFonts w:ascii="Times New Roman" w:hAnsi="Times New Roman"/>
          <w:sz w:val="28"/>
          <w:szCs w:val="28"/>
        </w:rPr>
        <w:t xml:space="preserve"> торговых барьеров между странами-членами Меркосур – в июле 2010 г</w:t>
      </w:r>
      <w:r>
        <w:rPr>
          <w:rFonts w:ascii="Times New Roman" w:hAnsi="Times New Roman"/>
          <w:sz w:val="28"/>
          <w:szCs w:val="28"/>
        </w:rPr>
        <w:t>.</w:t>
      </w:r>
      <w:r w:rsidRPr="008B4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окончательный переход к таможенному союзу был оформлен Единым</w:t>
      </w:r>
      <w:r w:rsidRPr="008B42F3">
        <w:rPr>
          <w:rFonts w:ascii="Times New Roman" w:hAnsi="Times New Roman"/>
          <w:sz w:val="28"/>
          <w:szCs w:val="28"/>
        </w:rPr>
        <w:t xml:space="preserve"> там</w:t>
      </w:r>
      <w:r>
        <w:rPr>
          <w:rFonts w:ascii="Times New Roman" w:hAnsi="Times New Roman"/>
          <w:sz w:val="28"/>
          <w:szCs w:val="28"/>
        </w:rPr>
        <w:t>оженным</w:t>
      </w:r>
      <w:r w:rsidRPr="008B42F3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 xml:space="preserve">ом.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егодня около 70% ставок национальных таможенных тарифов связаны единым тарифом Меркосур (при среднем уровне в 11.5%). Наряду с этим на пути торговой интеграции Меркосур применил и новые инициативы, в целью которых, на мой взгляд, была так называемая «восходящая интеграция» с микро- на макро уровень. Речь идет, в первую очередь, о снижении транзакционных издержек внешнеторговой деятельности. </w:t>
      </w:r>
    </w:p>
    <w:p w:rsidR="00F86D60" w:rsidRDefault="00F86D60" w:rsidP="00F86D60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7D66">
        <w:rPr>
          <w:sz w:val="28"/>
          <w:szCs w:val="28"/>
        </w:rPr>
        <w:t xml:space="preserve"> конце 2007 г. государства-участницы Меркосур приняли решение о переходе в своих трансграничных расчетах на национальные валюты, которое в 2009 г. было оформлено первым двухсторонним соглашение</w:t>
      </w:r>
      <w:r>
        <w:rPr>
          <w:sz w:val="28"/>
          <w:szCs w:val="28"/>
        </w:rPr>
        <w:t>м</w:t>
      </w:r>
      <w:r w:rsidRPr="00A57D66">
        <w:rPr>
          <w:sz w:val="28"/>
          <w:szCs w:val="28"/>
        </w:rPr>
        <w:t xml:space="preserve"> между центральными банками Бразилии и Аргентины. </w:t>
      </w:r>
      <w:r>
        <w:rPr>
          <w:sz w:val="28"/>
          <w:szCs w:val="28"/>
        </w:rPr>
        <w:t xml:space="preserve">Выгодность использования такого инструмента минимизации курсовой разницы отразились, во-первых, на среднем размере </w:t>
      </w:r>
      <w:r w:rsidRPr="00A57D66">
        <w:rPr>
          <w:sz w:val="28"/>
          <w:szCs w:val="28"/>
        </w:rPr>
        <w:t>сделки</w:t>
      </w:r>
      <w:r>
        <w:rPr>
          <w:sz w:val="28"/>
          <w:szCs w:val="28"/>
        </w:rPr>
        <w:t>, который</w:t>
      </w:r>
      <w:r w:rsidRPr="00A57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 молниеносно </w:t>
      </w:r>
      <w:r w:rsidRPr="00A57D6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2009 году достиг </w:t>
      </w:r>
      <w:r w:rsidRPr="00A57D66">
        <w:rPr>
          <w:sz w:val="28"/>
          <w:szCs w:val="28"/>
        </w:rPr>
        <w:t>332 тыс. реалов</w:t>
      </w:r>
      <w:r>
        <w:rPr>
          <w:sz w:val="28"/>
          <w:szCs w:val="28"/>
        </w:rPr>
        <w:t>, сократившись лишь в конце 2013 г. до 209 тыс. реалов.</w:t>
      </w:r>
      <w:r w:rsidRPr="00A57D66"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 xml:space="preserve"> Во-вторых, выразилось в повышении ритмичности функционирования схемы (средневкадрат. отклонение с 140% сузилось до 21%). В кризисный 2010 г. среднемесячная сумма расчетов практически в 3.5 раза превысила 2009 год, а количество сделок возросло в два раза. С</w:t>
      </w:r>
      <w:r w:rsidRPr="00A57D66">
        <w:rPr>
          <w:sz w:val="28"/>
          <w:szCs w:val="28"/>
        </w:rPr>
        <w:t>егодня</w:t>
      </w:r>
      <w:r>
        <w:rPr>
          <w:sz w:val="28"/>
          <w:szCs w:val="28"/>
        </w:rPr>
        <w:t xml:space="preserve"> накопленная сумма расчетов</w:t>
      </w:r>
      <w:r w:rsidRPr="00A57D66">
        <w:rPr>
          <w:sz w:val="28"/>
          <w:szCs w:val="28"/>
        </w:rPr>
        <w:t xml:space="preserve"> в бразильских реалах и аргентинских</w:t>
      </w:r>
      <w:r>
        <w:rPr>
          <w:sz w:val="28"/>
          <w:szCs w:val="28"/>
        </w:rPr>
        <w:t xml:space="preserve"> песо</w:t>
      </w:r>
      <w:r w:rsidRPr="00A57D66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превысила 17,</w:t>
      </w:r>
      <w:r w:rsidRPr="00A57D66">
        <w:rPr>
          <w:sz w:val="28"/>
          <w:szCs w:val="28"/>
        </w:rPr>
        <w:t>2 млрд.</w:t>
      </w:r>
      <w:r>
        <w:rPr>
          <w:sz w:val="28"/>
          <w:szCs w:val="28"/>
        </w:rPr>
        <w:t xml:space="preserve"> (на 1 апреля </w:t>
      </w:r>
      <w:r w:rsidRPr="00BF202D">
        <w:rPr>
          <w:sz w:val="28"/>
          <w:szCs w:val="28"/>
        </w:rPr>
        <w:t xml:space="preserve">2014 г.) по 27698 торговым сделкам. </w:t>
      </w:r>
      <w:r>
        <w:rPr>
          <w:sz w:val="28"/>
          <w:szCs w:val="28"/>
        </w:rPr>
        <w:t>В</w:t>
      </w:r>
      <w:r w:rsidRPr="00BF202D">
        <w:rPr>
          <w:sz w:val="28"/>
          <w:szCs w:val="28"/>
        </w:rPr>
        <w:t xml:space="preserve"> октябре 2009 г. </w:t>
      </w:r>
      <w:r>
        <w:rPr>
          <w:sz w:val="28"/>
          <w:szCs w:val="28"/>
        </w:rPr>
        <w:t>а</w:t>
      </w:r>
      <w:r w:rsidRPr="00BF202D">
        <w:rPr>
          <w:sz w:val="28"/>
          <w:szCs w:val="28"/>
        </w:rPr>
        <w:t>налогичная догово</w:t>
      </w:r>
      <w:r>
        <w:rPr>
          <w:sz w:val="28"/>
          <w:szCs w:val="28"/>
        </w:rPr>
        <w:t xml:space="preserve">ренность была также достигнута </w:t>
      </w:r>
      <w:r w:rsidRPr="00BF202D">
        <w:rPr>
          <w:sz w:val="28"/>
          <w:szCs w:val="28"/>
        </w:rPr>
        <w:t>между Бразилией и Уругваем.</w:t>
      </w:r>
    </w:p>
    <w:p w:rsidR="00F86D60" w:rsidRDefault="00F86D60" w:rsidP="00F86D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</w:t>
      </w:r>
      <w:r w:rsidRPr="00DF2B00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эти</w:t>
      </w:r>
      <w:r w:rsidRPr="00DF2B0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 w:rsidRPr="00DF2B00">
        <w:rPr>
          <w:rFonts w:ascii="Times New Roman" w:hAnsi="Times New Roman"/>
          <w:sz w:val="28"/>
          <w:szCs w:val="28"/>
        </w:rPr>
        <w:t xml:space="preserve"> согласно альтернативным оценкам Morgan Stanley, в 2014 г</w:t>
      </w:r>
      <w:r>
        <w:rPr>
          <w:rFonts w:ascii="Times New Roman" w:hAnsi="Times New Roman"/>
          <w:sz w:val="28"/>
          <w:szCs w:val="28"/>
        </w:rPr>
        <w:t>.</w:t>
      </w:r>
      <w:r w:rsidRPr="00DF2B00">
        <w:rPr>
          <w:rFonts w:ascii="Times New Roman" w:hAnsi="Times New Roman"/>
          <w:sz w:val="28"/>
          <w:szCs w:val="28"/>
        </w:rPr>
        <w:t xml:space="preserve"> Мексика, Колумбия, Перу и Чили </w:t>
      </w:r>
      <w:r>
        <w:rPr>
          <w:rFonts w:ascii="Times New Roman" w:hAnsi="Times New Roman"/>
          <w:sz w:val="28"/>
          <w:szCs w:val="28"/>
        </w:rPr>
        <w:t>с</w:t>
      </w:r>
      <w:r w:rsidRPr="00DF2B00">
        <w:rPr>
          <w:rFonts w:ascii="Times New Roman" w:hAnsi="Times New Roman"/>
          <w:sz w:val="28"/>
          <w:szCs w:val="28"/>
        </w:rPr>
        <w:t xml:space="preserve">могут достичь в среднем 4,25% прироста ВВП преимущественно за счет притока иностранных инвестиций при условии низкой инфляции (Morgan Stanley. 2014). </w:t>
      </w:r>
      <w:r>
        <w:rPr>
          <w:rFonts w:ascii="Times New Roman" w:hAnsi="Times New Roman"/>
          <w:sz w:val="28"/>
          <w:szCs w:val="28"/>
        </w:rPr>
        <w:t xml:space="preserve">ВЭФ </w:t>
      </w:r>
      <w:r w:rsidRPr="00DF2B00">
        <w:rPr>
          <w:rFonts w:ascii="Times New Roman" w:hAnsi="Times New Roman"/>
          <w:sz w:val="28"/>
          <w:szCs w:val="28"/>
        </w:rPr>
        <w:t xml:space="preserve">в своем докладе о глобальной конкурентоспособности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DF2B00">
        <w:rPr>
          <w:rFonts w:ascii="Times New Roman" w:hAnsi="Times New Roman"/>
          <w:sz w:val="28"/>
          <w:szCs w:val="28"/>
        </w:rPr>
        <w:t xml:space="preserve">2013-2014 гг.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DF2B00">
        <w:rPr>
          <w:rFonts w:ascii="Times New Roman" w:hAnsi="Times New Roman"/>
          <w:sz w:val="28"/>
          <w:szCs w:val="28"/>
        </w:rPr>
        <w:t xml:space="preserve">акцентирует внимание на необходимости </w:t>
      </w:r>
      <w:r>
        <w:rPr>
          <w:rFonts w:ascii="Times New Roman CYR" w:hAnsi="Times New Roman CYR" w:cs="Times New Roman CYR"/>
          <w:sz w:val="28"/>
          <w:szCs w:val="28"/>
        </w:rPr>
        <w:t>инвестиций</w:t>
      </w:r>
      <w:r w:rsidRPr="00DF2B00">
        <w:rPr>
          <w:rFonts w:ascii="Times New Roman CYR" w:hAnsi="Times New Roman CYR" w:cs="Times New Roman CYR"/>
          <w:sz w:val="28"/>
          <w:szCs w:val="28"/>
        </w:rPr>
        <w:t xml:space="preserve"> в развитие инфраструктуры</w:t>
      </w:r>
      <w:r w:rsidRPr="003C2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всех стран Латинской Америки</w:t>
      </w:r>
      <w:r w:rsidRPr="00DF2B00">
        <w:rPr>
          <w:rFonts w:ascii="Times New Roman CYR" w:hAnsi="Times New Roman CYR" w:cs="Times New Roman CYR"/>
          <w:sz w:val="28"/>
          <w:szCs w:val="28"/>
        </w:rPr>
        <w:t>, за исключением Чили (46</w:t>
      </w:r>
      <w:r>
        <w:rPr>
          <w:rFonts w:ascii="Times New Roman CYR" w:hAnsi="Times New Roman CYR" w:cs="Times New Roman CYR"/>
          <w:sz w:val="28"/>
          <w:szCs w:val="28"/>
        </w:rPr>
        <w:t>-я позиция в рейтинге</w:t>
      </w:r>
      <w:r w:rsidRPr="00DF2B00">
        <w:rPr>
          <w:rFonts w:ascii="Times New Roman CYR" w:hAnsi="Times New Roman CYR" w:cs="Times New Roman CYR"/>
          <w:sz w:val="28"/>
          <w:szCs w:val="28"/>
        </w:rPr>
        <w:t>) и Мексики (64</w:t>
      </w:r>
      <w:r>
        <w:rPr>
          <w:rFonts w:ascii="Times New Roman CYR" w:hAnsi="Times New Roman CYR" w:cs="Times New Roman CYR"/>
          <w:sz w:val="28"/>
          <w:szCs w:val="28"/>
        </w:rPr>
        <w:t xml:space="preserve">-я). Наиболее приоритетные отрасли для капиталовложений – это </w:t>
      </w:r>
      <w:r w:rsidRPr="00DF2B00">
        <w:rPr>
          <w:rFonts w:ascii="Times New Roman CYR" w:hAnsi="Times New Roman CYR" w:cs="Times New Roman CYR"/>
          <w:sz w:val="28"/>
          <w:szCs w:val="28"/>
        </w:rPr>
        <w:t xml:space="preserve">транспорт, энергетика, водоснабжение, информационные и коммуникационные технологии (ИКТ). Относительно высоких показателей внедрения ИКТ добились </w:t>
      </w:r>
      <w:r>
        <w:rPr>
          <w:rFonts w:ascii="Times New Roman CYR" w:hAnsi="Times New Roman CYR" w:cs="Times New Roman CYR"/>
          <w:sz w:val="28"/>
          <w:szCs w:val="28"/>
        </w:rPr>
        <w:t xml:space="preserve">лишь </w:t>
      </w:r>
      <w:r w:rsidRPr="00DF2B00">
        <w:rPr>
          <w:rFonts w:ascii="Times New Roman CYR" w:hAnsi="Times New Roman CYR" w:cs="Times New Roman CYR"/>
          <w:sz w:val="28"/>
          <w:szCs w:val="28"/>
        </w:rPr>
        <w:t>Чили (61,4%), Аргентина (55,8%) и Бразилия (49,8%).</w:t>
      </w:r>
    </w:p>
    <w:p w:rsidR="00F86D60" w:rsidRPr="003C26DD" w:rsidRDefault="00F86D60" w:rsidP="00F86D6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 не менее, индивидуальные</w:t>
      </w:r>
      <w:r w:rsidRPr="003C26DD">
        <w:rPr>
          <w:rFonts w:ascii="Times New Roman" w:eastAsia="Times New Roman" w:hAnsi="Times New Roman"/>
          <w:sz w:val="28"/>
          <w:szCs w:val="28"/>
          <w:lang w:eastAsia="ru-RU"/>
        </w:rPr>
        <w:t xml:space="preserve"> вложения не отменяют трансконтинентальной инициативы ИРСА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C2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объединившей целый ряд региональных торговых блоков в рамках строительства  транспортных коридоров и развязок (например, кольцо Меркосур и т.д.). И, на мой взгляд, возможности для дальнейшей координации</w:t>
      </w:r>
      <w:r w:rsidRPr="003C2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инфраструктурной </w:t>
      </w:r>
      <w:r w:rsidRPr="003C26DD">
        <w:rPr>
          <w:rFonts w:ascii="Times New Roman" w:eastAsia="Times New Roman" w:hAnsi="Times New Roman"/>
          <w:sz w:val="28"/>
          <w:szCs w:val="28"/>
          <w:lang w:eastAsia="ru-RU"/>
        </w:rPr>
        <w:t>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регионе далеко не исчерпаны.</w:t>
      </w:r>
    </w:p>
    <w:p w:rsidR="003A79CF" w:rsidRDefault="003A79CF">
      <w:bookmarkStart w:id="0" w:name="_GoBack"/>
      <w:bookmarkEnd w:id="0"/>
    </w:p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60" w:rsidRDefault="00F86D60" w:rsidP="00F86D60">
      <w:pPr>
        <w:spacing w:after="0" w:line="240" w:lineRule="auto"/>
      </w:pPr>
      <w:r>
        <w:separator/>
      </w:r>
    </w:p>
  </w:endnote>
  <w:endnote w:type="continuationSeparator" w:id="0">
    <w:p w:rsidR="00F86D60" w:rsidRDefault="00F86D60" w:rsidP="00F8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60" w:rsidRDefault="00F86D60" w:rsidP="00F86D60">
      <w:pPr>
        <w:spacing w:after="0" w:line="240" w:lineRule="auto"/>
      </w:pPr>
      <w:r>
        <w:separator/>
      </w:r>
    </w:p>
  </w:footnote>
  <w:footnote w:type="continuationSeparator" w:id="0">
    <w:p w:rsidR="00F86D60" w:rsidRDefault="00F86D60" w:rsidP="00F86D60">
      <w:pPr>
        <w:spacing w:after="0" w:line="240" w:lineRule="auto"/>
      </w:pPr>
      <w:r>
        <w:continuationSeparator/>
      </w:r>
    </w:p>
  </w:footnote>
  <w:footnote w:id="1">
    <w:p w:rsidR="00F86D60" w:rsidRPr="0007708B" w:rsidRDefault="00F86D60" w:rsidP="00F86D60">
      <w:pPr>
        <w:pStyle w:val="a3"/>
        <w:rPr>
          <w:rFonts w:ascii="Times New Roman" w:hAnsi="Times New Roman"/>
          <w:sz w:val="22"/>
          <w:szCs w:val="22"/>
        </w:rPr>
      </w:pPr>
      <w:r>
        <w:rPr>
          <w:rStyle w:val="a5"/>
        </w:rPr>
        <w:footnoteRef/>
      </w:r>
      <w:r w:rsidRPr="0007708B">
        <w:t xml:space="preserve"> </w:t>
      </w:r>
      <w:r>
        <w:rPr>
          <w:rFonts w:ascii="Times New Roman" w:hAnsi="Times New Roman"/>
          <w:sz w:val="22"/>
          <w:szCs w:val="22"/>
        </w:rPr>
        <w:t>Рас</w:t>
      </w:r>
      <w:r w:rsidRPr="00F54204">
        <w:rPr>
          <w:rFonts w:ascii="Times New Roman" w:hAnsi="Times New Roman"/>
          <w:sz w:val="22"/>
          <w:szCs w:val="22"/>
        </w:rPr>
        <w:t xml:space="preserve">считано автором по данным МТЦ ЮНКТАД (ВТО) </w:t>
      </w:r>
      <w:hyperlink r:id="rId1" w:history="1">
        <w:r w:rsidRPr="00F54204">
          <w:rPr>
            <w:rStyle w:val="a7"/>
            <w:rFonts w:ascii="Times New Roman" w:hAnsi="Times New Roman"/>
            <w:sz w:val="22"/>
            <w:szCs w:val="22"/>
          </w:rPr>
          <w:t>http://www.trademap.org/Bilateral_TS.aspx</w:t>
        </w:r>
      </w:hyperlink>
      <w:r w:rsidRPr="00F54204">
        <w:rPr>
          <w:rFonts w:ascii="Times New Roman" w:hAnsi="Times New Roman"/>
          <w:sz w:val="22"/>
          <w:szCs w:val="22"/>
        </w:rPr>
        <w:t xml:space="preserve"> </w:t>
      </w:r>
    </w:p>
  </w:footnote>
  <w:footnote w:id="2">
    <w:p w:rsidR="00F86D60" w:rsidRPr="00E775E5" w:rsidRDefault="00F86D60" w:rsidP="00F86D60">
      <w:pPr>
        <w:pStyle w:val="a3"/>
        <w:rPr>
          <w:rFonts w:ascii="Times New Roman" w:hAnsi="Times New Roman"/>
          <w:sz w:val="22"/>
          <w:szCs w:val="22"/>
          <w:lang w:val="en-US"/>
        </w:rPr>
      </w:pPr>
      <w:r w:rsidRPr="00E775E5">
        <w:rPr>
          <w:rStyle w:val="a5"/>
          <w:sz w:val="22"/>
          <w:szCs w:val="22"/>
        </w:rPr>
        <w:footnoteRef/>
      </w:r>
      <w:r w:rsidRPr="00E775E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775E5">
        <w:rPr>
          <w:rFonts w:ascii="Times New Roman" w:hAnsi="Times New Roman"/>
          <w:sz w:val="22"/>
          <w:szCs w:val="22"/>
        </w:rPr>
        <w:t>См</w:t>
      </w:r>
      <w:r w:rsidRPr="00E775E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775E5">
        <w:rPr>
          <w:rFonts w:ascii="Times New Roman" w:hAnsi="Times New Roman"/>
          <w:sz w:val="22"/>
          <w:szCs w:val="22"/>
        </w:rPr>
        <w:t>подробнее</w:t>
      </w:r>
      <w:r w:rsidRPr="00E775E5">
        <w:rPr>
          <w:rFonts w:ascii="Times New Roman" w:hAnsi="Times New Roman"/>
          <w:sz w:val="22"/>
          <w:szCs w:val="22"/>
          <w:lang w:val="en-US"/>
        </w:rPr>
        <w:t>: National Institute of Statistics and Censuses, Buenos Aires, february 13 of 2014.</w:t>
      </w:r>
    </w:p>
  </w:footnote>
  <w:footnote w:id="3">
    <w:p w:rsidR="00F86D60" w:rsidRPr="00AC5F5F" w:rsidRDefault="00F86D60" w:rsidP="00F86D60">
      <w:pPr>
        <w:pStyle w:val="a3"/>
        <w:rPr>
          <w:rFonts w:ascii="Times New Roman" w:hAnsi="Times New Roman"/>
          <w:sz w:val="22"/>
          <w:szCs w:val="22"/>
        </w:rPr>
      </w:pPr>
      <w:r w:rsidRPr="00AC5F5F">
        <w:rPr>
          <w:rStyle w:val="a5"/>
          <w:sz w:val="22"/>
          <w:szCs w:val="22"/>
        </w:rPr>
        <w:footnoteRef/>
      </w:r>
      <w:r w:rsidRPr="00AC5F5F">
        <w:rPr>
          <w:rFonts w:ascii="Times New Roman" w:hAnsi="Times New Roman"/>
          <w:sz w:val="22"/>
          <w:szCs w:val="22"/>
        </w:rPr>
        <w:t xml:space="preserve"> </w:t>
      </w:r>
      <w:r w:rsidRPr="00AC5F5F">
        <w:rPr>
          <w:rFonts w:ascii="Times New Roman" w:hAnsi="Times New Roman"/>
          <w:sz w:val="22"/>
          <w:szCs w:val="22"/>
        </w:rPr>
        <w:t>Рассчитано по данным ЦБ Бразилии.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60"/>
    <w:rsid w:val="003A79CF"/>
    <w:rsid w:val="00F8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6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86D60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semiHidden/>
    <w:rsid w:val="00F86D60"/>
    <w:rPr>
      <w:rFonts w:ascii="Calibri" w:eastAsia="MS Mincho" w:hAnsi="Calibri" w:cs="Times New Roman"/>
      <w:sz w:val="20"/>
      <w:szCs w:val="20"/>
      <w:lang w:eastAsia="ja-JP"/>
    </w:rPr>
  </w:style>
  <w:style w:type="character" w:styleId="a5">
    <w:name w:val="footnote reference"/>
    <w:basedOn w:val="a0"/>
    <w:semiHidden/>
    <w:unhideWhenUsed/>
    <w:rsid w:val="00F86D60"/>
    <w:rPr>
      <w:vertAlign w:val="superscript"/>
    </w:rPr>
  </w:style>
  <w:style w:type="paragraph" w:styleId="a6">
    <w:name w:val="Normal (Web)"/>
    <w:basedOn w:val="a"/>
    <w:uiPriority w:val="99"/>
    <w:unhideWhenUsed/>
    <w:rsid w:val="00F86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86D60"/>
    <w:rPr>
      <w:color w:val="466F96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6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86D60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semiHidden/>
    <w:rsid w:val="00F86D60"/>
    <w:rPr>
      <w:rFonts w:ascii="Calibri" w:eastAsia="MS Mincho" w:hAnsi="Calibri" w:cs="Times New Roman"/>
      <w:sz w:val="20"/>
      <w:szCs w:val="20"/>
      <w:lang w:eastAsia="ja-JP"/>
    </w:rPr>
  </w:style>
  <w:style w:type="character" w:styleId="a5">
    <w:name w:val="footnote reference"/>
    <w:basedOn w:val="a0"/>
    <w:semiHidden/>
    <w:unhideWhenUsed/>
    <w:rsid w:val="00F86D60"/>
    <w:rPr>
      <w:vertAlign w:val="superscript"/>
    </w:rPr>
  </w:style>
  <w:style w:type="paragraph" w:styleId="a6">
    <w:name w:val="Normal (Web)"/>
    <w:basedOn w:val="a"/>
    <w:uiPriority w:val="99"/>
    <w:unhideWhenUsed/>
    <w:rsid w:val="00F86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86D60"/>
    <w:rPr>
      <w:color w:val="466F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demap.org/Bilateral_TS.asp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5503</Characters>
  <Application>Microsoft Macintosh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2014-04-23T11:29:00Z</dcterms:created>
  <dcterms:modified xsi:type="dcterms:W3CDTF">2014-04-23T11:29:00Z</dcterms:modified>
</cp:coreProperties>
</file>