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74" w:rsidRPr="00517F91" w:rsidRDefault="00F50574" w:rsidP="00F50574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517F91">
        <w:rPr>
          <w:rFonts w:ascii="Times New Roman" w:hAnsi="Times New Roman"/>
          <w:b/>
          <w:sz w:val="28"/>
          <w:szCs w:val="28"/>
        </w:rPr>
        <w:t xml:space="preserve">Т.Л.Савостова </w:t>
      </w:r>
    </w:p>
    <w:p w:rsidR="00F50574" w:rsidRPr="00517F91" w:rsidRDefault="00F50574" w:rsidP="00F50574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517F91">
        <w:rPr>
          <w:rFonts w:ascii="Times New Roman" w:hAnsi="Times New Roman"/>
          <w:b/>
          <w:sz w:val="28"/>
          <w:szCs w:val="28"/>
        </w:rPr>
        <w:t xml:space="preserve">к.э.н., доцент каф. Госуправления </w:t>
      </w:r>
    </w:p>
    <w:p w:rsidR="00F50574" w:rsidRPr="00517F91" w:rsidRDefault="00F50574" w:rsidP="00F50574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517F91">
        <w:rPr>
          <w:rFonts w:ascii="Times New Roman" w:hAnsi="Times New Roman"/>
          <w:b/>
          <w:sz w:val="28"/>
          <w:szCs w:val="28"/>
        </w:rPr>
        <w:t>и права МГИМО(У) МИД России</w:t>
      </w:r>
    </w:p>
    <w:p w:rsidR="00F50574" w:rsidRDefault="00F50574" w:rsidP="00F50574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3CD3">
        <w:rPr>
          <w:rFonts w:ascii="Times New Roman" w:hAnsi="Times New Roman"/>
          <w:b/>
          <w:sz w:val="28"/>
          <w:szCs w:val="28"/>
        </w:rPr>
        <w:t>Инвестиционный потенциал: конкурентоспособность и устойчивое развитие России</w:t>
      </w:r>
    </w:p>
    <w:p w:rsidR="00F50574" w:rsidRDefault="00F50574" w:rsidP="00F5057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3CD3">
        <w:rPr>
          <w:rFonts w:ascii="Times New Roman" w:hAnsi="Times New Roman"/>
          <w:sz w:val="28"/>
          <w:szCs w:val="28"/>
        </w:rPr>
        <w:t>В современных условиях</w:t>
      </w:r>
      <w:r>
        <w:rPr>
          <w:rFonts w:ascii="Times New Roman" w:hAnsi="Times New Roman"/>
          <w:sz w:val="28"/>
          <w:szCs w:val="28"/>
        </w:rPr>
        <w:t xml:space="preserve"> острой проблемой является необходимость осуществления структурных сдвигов в национальной экономике России с целью снижения  ее зависимости от сырьевого сектора. Привлечение иностранного капитала в высокотехнологичные отрасли способствует созданию конкурентоспособной экономики, внедрению инноваций и обеспечивает выход страны на качественно новый технологический уровень развития посредством роста интеллектуальной составляющей ВВП. </w:t>
      </w:r>
    </w:p>
    <w:p w:rsidR="00F50574" w:rsidRDefault="00F50574" w:rsidP="00F5057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Инвестиционная политика страны тесно связана с реализацией программ в регионах. Инвестиционная политика для большинства  регионов в настоящее время заключается в структурной перестройке региональной экономики, достижении экономической самостоятельности и обеспечении, укреплении собственной современной индустриальной базы, в т.ч. экспортоориентированных отраслей, производства энергетических ресурсов, продуктов питания и т.д.</w:t>
      </w:r>
    </w:p>
    <w:p w:rsidR="003A79CF" w:rsidRPr="00F50574" w:rsidRDefault="00F50574" w:rsidP="00F5057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 учитывается специфика регионов при реализации инвестиционных программ, ряд программ переносится на региональный уровень, учитываются различные стартовые условия регионов.Для реализации инвестиционного потенциала России необходимо обеспечить согласованное и эффективное развитие институтов, регулирующих политические, социальные и экономические аспекты развития страны. В связи с этим необходима реализация активной государственной политики, направленной на улучшение инвестиционного климата, повышение конкурентоспособности и эффективности бизнеса, на стимулирование экономического роста и модернизации.</w:t>
      </w:r>
      <w:bookmarkStart w:id="0" w:name="_GoBack"/>
      <w:bookmarkEnd w:id="0"/>
    </w:p>
    <w:sectPr w:rsidR="003A79CF" w:rsidRPr="00F50574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74"/>
    <w:rsid w:val="003A79CF"/>
    <w:rsid w:val="00F5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74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74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Macintosh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2014-04-23T11:29:00Z</dcterms:created>
  <dcterms:modified xsi:type="dcterms:W3CDTF">2014-04-23T11:30:00Z</dcterms:modified>
</cp:coreProperties>
</file>