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882" w:rsidRDefault="004B205E">
      <w:pPr>
        <w:rPr>
          <w:b/>
        </w:rPr>
      </w:pPr>
      <w:bookmarkStart w:id="0" w:name="_GoBack"/>
      <w:bookmarkEnd w:id="0"/>
      <w:r w:rsidRPr="00043882">
        <w:rPr>
          <w:b/>
        </w:rPr>
        <w:t xml:space="preserve">Trends in Economic </w:t>
      </w:r>
      <w:r w:rsidR="00B66F4D">
        <w:rPr>
          <w:b/>
        </w:rPr>
        <w:t xml:space="preserve">Development, </w:t>
      </w:r>
      <w:r w:rsidRPr="00043882">
        <w:rPr>
          <w:b/>
        </w:rPr>
        <w:t>Cooperation</w:t>
      </w:r>
      <w:r w:rsidR="00B66F4D">
        <w:rPr>
          <w:b/>
        </w:rPr>
        <w:t>,</w:t>
      </w:r>
      <w:r w:rsidRPr="00043882">
        <w:rPr>
          <w:b/>
        </w:rPr>
        <w:t xml:space="preserve"> and Trade: BRICS</w:t>
      </w:r>
      <w:r w:rsidR="00043882" w:rsidRPr="00043882">
        <w:rPr>
          <w:b/>
        </w:rPr>
        <w:t>’ P</w:t>
      </w:r>
      <w:r w:rsidR="00B66F4D">
        <w:rPr>
          <w:b/>
        </w:rPr>
        <w:t>osition</w:t>
      </w:r>
    </w:p>
    <w:p w:rsidR="004B205E" w:rsidRPr="00043882" w:rsidRDefault="00043882">
      <w:pPr>
        <w:rPr>
          <w:b/>
          <w:i/>
        </w:rPr>
      </w:pPr>
      <w:r w:rsidRPr="00043882">
        <w:rPr>
          <w:i/>
        </w:rPr>
        <w:t xml:space="preserve">(Presentation will have </w:t>
      </w:r>
      <w:r>
        <w:rPr>
          <w:i/>
        </w:rPr>
        <w:t>P</w:t>
      </w:r>
      <w:r w:rsidRPr="00043882">
        <w:rPr>
          <w:i/>
        </w:rPr>
        <w:t xml:space="preserve">ower </w:t>
      </w:r>
      <w:r>
        <w:rPr>
          <w:i/>
        </w:rPr>
        <w:t>P</w:t>
      </w:r>
      <w:r w:rsidRPr="00043882">
        <w:rPr>
          <w:i/>
        </w:rPr>
        <w:t>oint slides.)</w:t>
      </w:r>
    </w:p>
    <w:p w:rsidR="004B205E" w:rsidRDefault="00A22F8E">
      <w:r w:rsidRPr="00A22F8E">
        <w:rPr>
          <w:b/>
        </w:rPr>
        <w:t>Abstract:</w:t>
      </w:r>
      <w:r>
        <w:t xml:space="preserve"> </w:t>
      </w:r>
      <w:r w:rsidR="004B205E">
        <w:t xml:space="preserve">Where do BRICS </w:t>
      </w:r>
      <w:r w:rsidR="00043882">
        <w:t xml:space="preserve">stand on the ladder of global </w:t>
      </w:r>
      <w:r w:rsidR="004B205E">
        <w:t xml:space="preserve">economic development?  </w:t>
      </w:r>
      <w:r w:rsidR="00043882">
        <w:t xml:space="preserve">Are they as influential in global geopolitical space?  What are the trends in their economic relationship with the US?  And what does this all mean for global distribution of economic power? </w:t>
      </w:r>
    </w:p>
    <w:p w:rsidR="00F519CB" w:rsidRDefault="00F519CB">
      <w:r>
        <w:t xml:space="preserve">While BRICS occupy over a quarter of the world’s landmass, comprise 40% of world population and more than a quarter of world GDP, they are a diverse set of countries with very unique political and economic dynamics and do not currently represent an economic block.  The intra-BRICS FDI is rather low, although trade is more important.  BRICS group invests heavily in the developed countries and little in developing countries as a share of </w:t>
      </w:r>
      <w:r w:rsidRPr="00A22F8E">
        <w:rPr>
          <w:i/>
        </w:rPr>
        <w:t>its</w:t>
      </w:r>
      <w:r>
        <w:t xml:space="preserve"> total FDI outflows.  However, as a </w:t>
      </w:r>
      <w:r w:rsidR="00CF5085">
        <w:t>percentage</w:t>
      </w:r>
      <w:r>
        <w:t xml:space="preserve"> of FDI coming into the developing world, BRICS</w:t>
      </w:r>
      <w:r w:rsidR="00A22F8E">
        <w:t>’</w:t>
      </w:r>
      <w:r>
        <w:t xml:space="preserve"> share is more significant, in particular, FDI to Africa.</w:t>
      </w:r>
      <w:r w:rsidR="00A22F8E">
        <w:t xml:space="preserve">  This economic relationship shows all positive sign</w:t>
      </w:r>
      <w:r w:rsidR="00CF5085">
        <w:t>s</w:t>
      </w:r>
      <w:r w:rsidR="00A22F8E">
        <w:t xml:space="preserve"> of further development</w:t>
      </w:r>
      <w:r w:rsidR="00CF5085">
        <w:t xml:space="preserve">, especially, given </w:t>
      </w:r>
      <w:r w:rsidR="00A22F8E">
        <w:t xml:space="preserve">trade agreements </w:t>
      </w:r>
      <w:r w:rsidR="00CF5085">
        <w:t xml:space="preserve">between other world’s economic powers </w:t>
      </w:r>
      <w:r w:rsidR="00A22F8E">
        <w:t>(</w:t>
      </w:r>
      <w:r w:rsidR="00CF5085">
        <w:t xml:space="preserve">e.g., </w:t>
      </w:r>
      <w:r w:rsidR="00A22F8E">
        <w:t>T</w:t>
      </w:r>
      <w:r w:rsidR="00CF5085">
        <w:t>T</w:t>
      </w:r>
      <w:r w:rsidR="00A22F8E">
        <w:t>I</w:t>
      </w:r>
      <w:r w:rsidR="00CF5085">
        <w:t>P and T</w:t>
      </w:r>
      <w:r w:rsidR="00A22F8E">
        <w:t>PP), which may weaken BRICS</w:t>
      </w:r>
      <w:r w:rsidR="00CF5085">
        <w:t>’</w:t>
      </w:r>
      <w:r w:rsidR="00A22F8E">
        <w:t xml:space="preserve"> position in other regions.</w:t>
      </w:r>
    </w:p>
    <w:p w:rsidR="00CF5085" w:rsidRDefault="00CF5085"/>
    <w:p w:rsidR="00116772" w:rsidRDefault="00116772">
      <w:r>
        <w:t xml:space="preserve">There is no question that the BRICS group contributes a significant share to global growth.  </w:t>
      </w:r>
      <w:r w:rsidR="00B66F4D">
        <w:t>BRICS</w:t>
      </w:r>
      <w:r w:rsidR="00A22F8E">
        <w:t>’</w:t>
      </w:r>
      <w:r w:rsidR="00B66F4D">
        <w:t xml:space="preserve"> </w:t>
      </w:r>
      <w:r w:rsidR="00A22F8E">
        <w:t xml:space="preserve">share of GDP in the world’s total </w:t>
      </w:r>
      <w:r w:rsidR="00B66F4D">
        <w:t>rival</w:t>
      </w:r>
      <w:r w:rsidR="007811E7">
        <w:t>s</w:t>
      </w:r>
      <w:r w:rsidR="00B66F4D">
        <w:t xml:space="preserve"> with the largest economies</w:t>
      </w:r>
      <w:r w:rsidR="007811E7">
        <w:t xml:space="preserve"> of</w:t>
      </w:r>
      <w:r w:rsidR="00B66F4D">
        <w:t xml:space="preserve"> the US and the EU (see graph below).</w:t>
      </w:r>
    </w:p>
    <w:p w:rsidR="00116772" w:rsidRDefault="006C29FA" w:rsidP="006C29FA">
      <w:pPr>
        <w:jc w:val="center"/>
      </w:pPr>
      <w:r>
        <w:rPr>
          <w:noProof/>
          <w:lang w:val="ru-RU" w:eastAsia="ru-RU"/>
        </w:rPr>
        <w:drawing>
          <wp:inline distT="0" distB="0" distL="0" distR="0" wp14:anchorId="05D73DC1" wp14:editId="2911ECF3">
            <wp:extent cx="3916680" cy="2659380"/>
            <wp:effectExtent l="0" t="0" r="26670"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C29FA" w:rsidRDefault="006C29FA" w:rsidP="006C29FA">
      <w:pPr>
        <w:jc w:val="center"/>
        <w:rPr>
          <w:i/>
          <w:sz w:val="22"/>
        </w:rPr>
      </w:pPr>
      <w:r w:rsidRPr="006C29FA">
        <w:rPr>
          <w:i/>
          <w:sz w:val="22"/>
        </w:rPr>
        <w:t>Source:  International Monetary Fund, World Economic Outlook Database, April 2014</w:t>
      </w:r>
    </w:p>
    <w:p w:rsidR="00116772" w:rsidRDefault="007811E7">
      <w:r>
        <w:t>The size of the BRICS</w:t>
      </w:r>
      <w:r w:rsidR="00E423A5">
        <w:t xml:space="preserve"> economies and</w:t>
      </w:r>
      <w:r>
        <w:t xml:space="preserve"> their</w:t>
      </w:r>
      <w:r w:rsidR="00E423A5">
        <w:t xml:space="preserve"> impressive GDP growth </w:t>
      </w:r>
      <w:r>
        <w:t xml:space="preserve">over the last decade </w:t>
      </w:r>
      <w:r w:rsidR="00E423A5">
        <w:t xml:space="preserve">have been the </w:t>
      </w:r>
      <w:r w:rsidR="006C29FA">
        <w:t>primary reason</w:t>
      </w:r>
      <w:r w:rsidR="00E423A5">
        <w:t>s</w:t>
      </w:r>
      <w:r w:rsidR="006C29FA">
        <w:t xml:space="preserve"> </w:t>
      </w:r>
      <w:r>
        <w:t>behind</w:t>
      </w:r>
      <w:r w:rsidR="006C29FA">
        <w:t xml:space="preserve"> the </w:t>
      </w:r>
      <w:r w:rsidR="00B4504F">
        <w:t xml:space="preserve">increase in </w:t>
      </w:r>
      <w:r w:rsidR="006C29FA">
        <w:t xml:space="preserve">inward FDI </w:t>
      </w:r>
      <w:r>
        <w:t>to</w:t>
      </w:r>
      <w:r w:rsidR="00B4504F">
        <w:t xml:space="preserve"> BRICS</w:t>
      </w:r>
      <w:r w:rsidR="006C29FA">
        <w:t>.</w:t>
      </w:r>
      <w:r w:rsidR="003E4B55">
        <w:rPr>
          <w:rStyle w:val="af0"/>
        </w:rPr>
        <w:footnoteReference w:id="1"/>
      </w:r>
    </w:p>
    <w:p w:rsidR="006C29FA" w:rsidRDefault="003E4B55" w:rsidP="003E4B55">
      <w:pPr>
        <w:jc w:val="center"/>
      </w:pPr>
      <w:r>
        <w:rPr>
          <w:noProof/>
          <w:lang w:val="ru-RU" w:eastAsia="ru-RU"/>
        </w:rPr>
        <w:lastRenderedPageBreak/>
        <w:drawing>
          <wp:inline distT="0" distB="0" distL="0" distR="0" wp14:anchorId="1EE06B64" wp14:editId="5258E727">
            <wp:extent cx="4160520" cy="2720340"/>
            <wp:effectExtent l="0" t="0" r="11430"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E4B55" w:rsidRDefault="003E4B55" w:rsidP="003E4B55">
      <w:pPr>
        <w:jc w:val="center"/>
        <w:rPr>
          <w:i/>
          <w:sz w:val="22"/>
        </w:rPr>
      </w:pPr>
      <w:r w:rsidRPr="006C29FA">
        <w:rPr>
          <w:i/>
          <w:sz w:val="22"/>
        </w:rPr>
        <w:t xml:space="preserve">Source:  </w:t>
      </w:r>
      <w:r w:rsidRPr="003E4B55">
        <w:rPr>
          <w:i/>
          <w:sz w:val="22"/>
        </w:rPr>
        <w:t>UNCTAD, UNCTADstat</w:t>
      </w:r>
      <w:r>
        <w:rPr>
          <w:i/>
          <w:sz w:val="22"/>
        </w:rPr>
        <w:t xml:space="preserve">, </w:t>
      </w:r>
      <w:r w:rsidRPr="003E4B55">
        <w:rPr>
          <w:i/>
          <w:sz w:val="22"/>
        </w:rPr>
        <w:t>http://unctad.org/en/Pages/Statistics.aspx</w:t>
      </w:r>
    </w:p>
    <w:p w:rsidR="00116772" w:rsidRDefault="00E31647">
      <w:r>
        <w:t>M</w:t>
      </w:r>
      <w:r w:rsidR="00116772">
        <w:t xml:space="preserve">ore </w:t>
      </w:r>
      <w:r>
        <w:t xml:space="preserve">importantly, recently </w:t>
      </w:r>
      <w:r w:rsidR="00116772">
        <w:t xml:space="preserve">the BRICS group has </w:t>
      </w:r>
      <w:r>
        <w:t>itself become an investor</w:t>
      </w:r>
      <w:r w:rsidR="00C95134">
        <w:t>,</w:t>
      </w:r>
      <w:r w:rsidR="00116772">
        <w:rPr>
          <w:rStyle w:val="af0"/>
        </w:rPr>
        <w:footnoteReference w:id="2"/>
      </w:r>
      <w:r w:rsidR="00C95134">
        <w:t xml:space="preserve"> with Russia and China in the lead</w:t>
      </w:r>
      <w:r>
        <w:t xml:space="preserve"> (see graph below).</w:t>
      </w:r>
      <w:r w:rsidR="00C95134">
        <w:t xml:space="preserve">  </w:t>
      </w:r>
    </w:p>
    <w:p w:rsidR="00116772" w:rsidRDefault="00C95134" w:rsidP="00C95134">
      <w:pPr>
        <w:jc w:val="center"/>
      </w:pPr>
      <w:r>
        <w:rPr>
          <w:noProof/>
          <w:lang w:val="ru-RU" w:eastAsia="ru-RU"/>
        </w:rPr>
        <w:drawing>
          <wp:inline distT="0" distB="0" distL="0" distR="0" wp14:anchorId="3F7D2800" wp14:editId="3F746F07">
            <wp:extent cx="4053840" cy="2727960"/>
            <wp:effectExtent l="0" t="0" r="2286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5134" w:rsidRDefault="00C95134" w:rsidP="00C95134">
      <w:pPr>
        <w:jc w:val="center"/>
        <w:rPr>
          <w:i/>
          <w:sz w:val="22"/>
        </w:rPr>
      </w:pPr>
      <w:r w:rsidRPr="006C29FA">
        <w:rPr>
          <w:i/>
          <w:sz w:val="22"/>
        </w:rPr>
        <w:t xml:space="preserve">Source:  </w:t>
      </w:r>
      <w:r w:rsidRPr="003E4B55">
        <w:rPr>
          <w:i/>
          <w:sz w:val="22"/>
        </w:rPr>
        <w:t>UNCTAD, UNCTADstat</w:t>
      </w:r>
      <w:r>
        <w:rPr>
          <w:i/>
          <w:sz w:val="22"/>
        </w:rPr>
        <w:t xml:space="preserve">, </w:t>
      </w:r>
      <w:r w:rsidRPr="003E4B55">
        <w:rPr>
          <w:i/>
          <w:sz w:val="22"/>
        </w:rPr>
        <w:t>http://unctad.org/en/Pages/Statistics.aspx</w:t>
      </w:r>
    </w:p>
    <w:p w:rsidR="00116772" w:rsidRDefault="00C95134">
      <w:r>
        <w:t>It is worth to address the direction of these outflows: investment in Africa has grown to rival that of the US.</w:t>
      </w:r>
    </w:p>
    <w:p w:rsidR="00F86D8B" w:rsidRDefault="00F86D8B"/>
    <w:p w:rsidR="00A22F8E" w:rsidRPr="00F86D8B" w:rsidRDefault="00F86D8B" w:rsidP="00F86D8B">
      <w:pPr>
        <w:jc w:val="center"/>
        <w:rPr>
          <w:b/>
          <w:sz w:val="28"/>
        </w:rPr>
      </w:pPr>
      <w:r w:rsidRPr="00F86D8B">
        <w:rPr>
          <w:b/>
          <w:color w:val="000000"/>
          <w:szCs w:val="22"/>
        </w:rPr>
        <w:lastRenderedPageBreak/>
        <w:t xml:space="preserve">Table 1.  </w:t>
      </w:r>
      <w:r w:rsidRPr="00A22F8E">
        <w:rPr>
          <w:b/>
          <w:color w:val="000000"/>
          <w:szCs w:val="22"/>
        </w:rPr>
        <w:t>Outward FDI Stock from BRICS, by Destination Region, 2011</w:t>
      </w:r>
    </w:p>
    <w:tbl>
      <w:tblPr>
        <w:tblW w:w="7519" w:type="dxa"/>
        <w:jc w:val="center"/>
        <w:tblInd w:w="-909" w:type="dxa"/>
        <w:tblLook w:val="04A0" w:firstRow="1" w:lastRow="0" w:firstColumn="1" w:lastColumn="0" w:noHBand="0" w:noVBand="1"/>
      </w:tblPr>
      <w:tblGrid>
        <w:gridCol w:w="3940"/>
        <w:gridCol w:w="1800"/>
        <w:gridCol w:w="1779"/>
      </w:tblGrid>
      <w:tr w:rsidR="00A22F8E" w:rsidRPr="00A22F8E" w:rsidTr="007811E7">
        <w:trPr>
          <w:trHeight w:val="288"/>
          <w:jc w:val="center"/>
        </w:trPr>
        <w:tc>
          <w:tcPr>
            <w:tcW w:w="7519" w:type="dxa"/>
            <w:gridSpan w:val="3"/>
            <w:tcBorders>
              <w:top w:val="nil"/>
              <w:left w:val="nil"/>
              <w:bottom w:val="nil"/>
              <w:right w:val="nil"/>
            </w:tcBorders>
            <w:shd w:val="clear" w:color="auto" w:fill="auto"/>
            <w:noWrap/>
            <w:vAlign w:val="bottom"/>
            <w:hideMark/>
          </w:tcPr>
          <w:p w:rsidR="00A22F8E" w:rsidRPr="00A22F8E" w:rsidRDefault="00A22F8E" w:rsidP="00A22F8E">
            <w:pPr>
              <w:spacing w:before="0" w:after="0"/>
              <w:jc w:val="left"/>
              <w:rPr>
                <w:rFonts w:ascii="Calibri" w:hAnsi="Calibri"/>
                <w:color w:val="000000"/>
                <w:sz w:val="22"/>
                <w:szCs w:val="22"/>
              </w:rPr>
            </w:pPr>
          </w:p>
        </w:tc>
      </w:tr>
      <w:tr w:rsidR="00A22F8E" w:rsidRPr="00A22F8E" w:rsidTr="007811E7">
        <w:trPr>
          <w:trHeight w:val="288"/>
          <w:jc w:val="center"/>
        </w:trPr>
        <w:tc>
          <w:tcPr>
            <w:tcW w:w="3940" w:type="dxa"/>
            <w:tcBorders>
              <w:top w:val="nil"/>
              <w:left w:val="nil"/>
              <w:bottom w:val="single" w:sz="4" w:space="0" w:color="auto"/>
              <w:right w:val="nil"/>
            </w:tcBorders>
            <w:shd w:val="clear" w:color="auto" w:fill="auto"/>
            <w:noWrap/>
            <w:vAlign w:val="bottom"/>
            <w:hideMark/>
          </w:tcPr>
          <w:p w:rsidR="00A22F8E" w:rsidRPr="00A22F8E" w:rsidRDefault="00A22F8E" w:rsidP="00A22F8E">
            <w:pPr>
              <w:spacing w:before="0" w:after="0"/>
              <w:jc w:val="left"/>
              <w:rPr>
                <w:rFonts w:ascii="Calibri" w:hAnsi="Calibri"/>
                <w:b/>
                <w:bCs/>
                <w:color w:val="000000"/>
                <w:sz w:val="22"/>
                <w:szCs w:val="22"/>
              </w:rPr>
            </w:pPr>
            <w:r w:rsidRPr="00A22F8E">
              <w:rPr>
                <w:rFonts w:ascii="Calibri" w:hAnsi="Calibri"/>
                <w:b/>
                <w:bCs/>
                <w:color w:val="000000"/>
                <w:sz w:val="22"/>
                <w:szCs w:val="22"/>
              </w:rPr>
              <w:t>Partner Region/Economy</w:t>
            </w:r>
          </w:p>
        </w:tc>
        <w:tc>
          <w:tcPr>
            <w:tcW w:w="1800" w:type="dxa"/>
            <w:tcBorders>
              <w:top w:val="nil"/>
              <w:left w:val="nil"/>
              <w:bottom w:val="single" w:sz="4" w:space="0" w:color="auto"/>
              <w:right w:val="nil"/>
            </w:tcBorders>
            <w:shd w:val="clear" w:color="auto" w:fill="auto"/>
            <w:noWrap/>
            <w:vAlign w:val="bottom"/>
            <w:hideMark/>
          </w:tcPr>
          <w:p w:rsidR="00A22F8E" w:rsidRPr="00A22F8E" w:rsidRDefault="00A22F8E" w:rsidP="00F86D8B">
            <w:pPr>
              <w:spacing w:before="0" w:after="0"/>
              <w:jc w:val="right"/>
              <w:rPr>
                <w:rFonts w:ascii="Calibri" w:hAnsi="Calibri"/>
                <w:b/>
                <w:bCs/>
                <w:color w:val="000000"/>
                <w:sz w:val="22"/>
                <w:szCs w:val="22"/>
              </w:rPr>
            </w:pPr>
            <w:r w:rsidRPr="00A22F8E">
              <w:rPr>
                <w:rFonts w:ascii="Calibri" w:hAnsi="Calibri"/>
                <w:b/>
                <w:bCs/>
                <w:color w:val="000000"/>
                <w:sz w:val="22"/>
                <w:szCs w:val="22"/>
              </w:rPr>
              <w:t>Value, Millions</w:t>
            </w:r>
          </w:p>
        </w:tc>
        <w:tc>
          <w:tcPr>
            <w:tcW w:w="1779" w:type="dxa"/>
            <w:tcBorders>
              <w:top w:val="nil"/>
              <w:left w:val="nil"/>
              <w:bottom w:val="single" w:sz="4" w:space="0" w:color="auto"/>
              <w:right w:val="nil"/>
            </w:tcBorders>
            <w:shd w:val="clear" w:color="auto" w:fill="auto"/>
            <w:noWrap/>
            <w:vAlign w:val="bottom"/>
            <w:hideMark/>
          </w:tcPr>
          <w:p w:rsidR="00A22F8E" w:rsidRPr="00A22F8E" w:rsidRDefault="00A22F8E" w:rsidP="00F86D8B">
            <w:pPr>
              <w:spacing w:before="0" w:after="0"/>
              <w:jc w:val="right"/>
              <w:rPr>
                <w:rFonts w:ascii="Calibri" w:hAnsi="Calibri"/>
                <w:b/>
                <w:bCs/>
                <w:color w:val="000000"/>
                <w:sz w:val="22"/>
                <w:szCs w:val="22"/>
              </w:rPr>
            </w:pPr>
            <w:r w:rsidRPr="00A22F8E">
              <w:rPr>
                <w:rFonts w:ascii="Calibri" w:hAnsi="Calibri"/>
                <w:b/>
                <w:bCs/>
                <w:color w:val="000000"/>
                <w:sz w:val="22"/>
                <w:szCs w:val="22"/>
              </w:rPr>
              <w:t>Share, %</w:t>
            </w:r>
          </w:p>
        </w:tc>
      </w:tr>
      <w:tr w:rsidR="00A22F8E" w:rsidRPr="00A22F8E" w:rsidTr="007811E7">
        <w:trPr>
          <w:trHeight w:val="288"/>
          <w:jc w:val="center"/>
        </w:trPr>
        <w:tc>
          <w:tcPr>
            <w:tcW w:w="3940"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left"/>
              <w:rPr>
                <w:rFonts w:ascii="Calibri" w:hAnsi="Calibri"/>
                <w:b/>
                <w:bCs/>
                <w:color w:val="000000"/>
                <w:sz w:val="22"/>
                <w:szCs w:val="22"/>
              </w:rPr>
            </w:pPr>
            <w:r w:rsidRPr="00A22F8E">
              <w:rPr>
                <w:rFonts w:ascii="Calibri" w:hAnsi="Calibri"/>
                <w:b/>
                <w:bCs/>
                <w:color w:val="000000"/>
                <w:sz w:val="22"/>
                <w:szCs w:val="22"/>
              </w:rPr>
              <w:t>World</w:t>
            </w:r>
          </w:p>
        </w:tc>
        <w:tc>
          <w:tcPr>
            <w:tcW w:w="1800"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right"/>
              <w:rPr>
                <w:rFonts w:ascii="Calibri" w:hAnsi="Calibri"/>
                <w:color w:val="000000"/>
                <w:sz w:val="22"/>
                <w:szCs w:val="22"/>
              </w:rPr>
            </w:pPr>
            <w:r w:rsidRPr="00A22F8E">
              <w:rPr>
                <w:rFonts w:ascii="Calibri" w:hAnsi="Calibri"/>
                <w:color w:val="000000"/>
                <w:sz w:val="22"/>
                <w:szCs w:val="22"/>
              </w:rPr>
              <w:t>$1,130,238</w:t>
            </w:r>
          </w:p>
        </w:tc>
        <w:tc>
          <w:tcPr>
            <w:tcW w:w="1779"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right"/>
              <w:rPr>
                <w:rFonts w:ascii="Calibri" w:hAnsi="Calibri"/>
                <w:color w:val="000000"/>
                <w:sz w:val="22"/>
                <w:szCs w:val="22"/>
              </w:rPr>
            </w:pPr>
            <w:r w:rsidRPr="00A22F8E">
              <w:rPr>
                <w:rFonts w:ascii="Calibri" w:hAnsi="Calibri"/>
                <w:color w:val="000000"/>
                <w:sz w:val="22"/>
                <w:szCs w:val="22"/>
              </w:rPr>
              <w:t>100</w:t>
            </w:r>
          </w:p>
        </w:tc>
      </w:tr>
      <w:tr w:rsidR="00A22F8E" w:rsidRPr="00A22F8E" w:rsidTr="007811E7">
        <w:trPr>
          <w:trHeight w:val="288"/>
          <w:jc w:val="center"/>
        </w:trPr>
        <w:tc>
          <w:tcPr>
            <w:tcW w:w="3940" w:type="dxa"/>
            <w:tcBorders>
              <w:top w:val="nil"/>
              <w:left w:val="nil"/>
              <w:bottom w:val="nil"/>
              <w:right w:val="nil"/>
            </w:tcBorders>
            <w:shd w:val="clear" w:color="auto" w:fill="auto"/>
            <w:noWrap/>
            <w:vAlign w:val="bottom"/>
            <w:hideMark/>
          </w:tcPr>
          <w:p w:rsidR="00A22F8E" w:rsidRPr="00A22F8E" w:rsidRDefault="00A22F8E" w:rsidP="00A22F8E">
            <w:pPr>
              <w:spacing w:before="0" w:after="0"/>
              <w:ind w:firstLineChars="100" w:firstLine="220"/>
              <w:jc w:val="left"/>
              <w:rPr>
                <w:rFonts w:ascii="Calibri" w:hAnsi="Calibri"/>
                <w:color w:val="000000"/>
                <w:sz w:val="22"/>
                <w:szCs w:val="22"/>
              </w:rPr>
            </w:pPr>
            <w:r w:rsidRPr="00A22F8E">
              <w:rPr>
                <w:rFonts w:ascii="Calibri" w:hAnsi="Calibri"/>
                <w:color w:val="000000"/>
                <w:sz w:val="22"/>
                <w:szCs w:val="22"/>
              </w:rPr>
              <w:t>Developed countries</w:t>
            </w:r>
          </w:p>
        </w:tc>
        <w:tc>
          <w:tcPr>
            <w:tcW w:w="1800"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right"/>
              <w:rPr>
                <w:rFonts w:ascii="Calibri" w:hAnsi="Calibri"/>
                <w:color w:val="000000"/>
                <w:sz w:val="22"/>
                <w:szCs w:val="22"/>
              </w:rPr>
            </w:pPr>
            <w:r w:rsidRPr="00A22F8E">
              <w:rPr>
                <w:rFonts w:ascii="Calibri" w:hAnsi="Calibri"/>
                <w:color w:val="000000"/>
                <w:sz w:val="22"/>
                <w:szCs w:val="22"/>
              </w:rPr>
              <w:t>$470,625</w:t>
            </w:r>
          </w:p>
        </w:tc>
        <w:tc>
          <w:tcPr>
            <w:tcW w:w="1779"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right"/>
              <w:rPr>
                <w:rFonts w:ascii="Calibri" w:hAnsi="Calibri"/>
                <w:color w:val="000000"/>
                <w:sz w:val="22"/>
                <w:szCs w:val="22"/>
              </w:rPr>
            </w:pPr>
            <w:r w:rsidRPr="00A22F8E">
              <w:rPr>
                <w:rFonts w:ascii="Calibri" w:hAnsi="Calibri"/>
                <w:color w:val="000000"/>
                <w:sz w:val="22"/>
                <w:szCs w:val="22"/>
              </w:rPr>
              <w:t>41.6</w:t>
            </w:r>
          </w:p>
        </w:tc>
      </w:tr>
      <w:tr w:rsidR="00A22F8E" w:rsidRPr="00A22F8E" w:rsidTr="007811E7">
        <w:trPr>
          <w:trHeight w:val="288"/>
          <w:jc w:val="center"/>
        </w:trPr>
        <w:tc>
          <w:tcPr>
            <w:tcW w:w="3940" w:type="dxa"/>
            <w:tcBorders>
              <w:top w:val="nil"/>
              <w:left w:val="nil"/>
              <w:bottom w:val="nil"/>
              <w:right w:val="nil"/>
            </w:tcBorders>
            <w:shd w:val="clear" w:color="auto" w:fill="auto"/>
            <w:noWrap/>
            <w:vAlign w:val="bottom"/>
            <w:hideMark/>
          </w:tcPr>
          <w:p w:rsidR="00A22F8E" w:rsidRPr="00A22F8E" w:rsidRDefault="00A22F8E" w:rsidP="00A22F8E">
            <w:pPr>
              <w:spacing w:before="0" w:after="0"/>
              <w:ind w:firstLineChars="200" w:firstLine="440"/>
              <w:jc w:val="left"/>
              <w:rPr>
                <w:rFonts w:ascii="Calibri" w:hAnsi="Calibri"/>
                <w:color w:val="000000"/>
                <w:sz w:val="22"/>
                <w:szCs w:val="22"/>
              </w:rPr>
            </w:pPr>
            <w:r w:rsidRPr="00A22F8E">
              <w:rPr>
                <w:rFonts w:ascii="Calibri" w:hAnsi="Calibri"/>
                <w:color w:val="FF0000"/>
                <w:sz w:val="22"/>
                <w:szCs w:val="22"/>
              </w:rPr>
              <w:t>European Union</w:t>
            </w:r>
          </w:p>
        </w:tc>
        <w:tc>
          <w:tcPr>
            <w:tcW w:w="1800"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right"/>
              <w:rPr>
                <w:rFonts w:ascii="Calibri" w:hAnsi="Calibri"/>
                <w:color w:val="000000"/>
                <w:sz w:val="22"/>
                <w:szCs w:val="22"/>
              </w:rPr>
            </w:pPr>
            <w:r w:rsidRPr="00A22F8E">
              <w:rPr>
                <w:rFonts w:ascii="Calibri" w:hAnsi="Calibri"/>
                <w:color w:val="000000"/>
                <w:sz w:val="22"/>
                <w:szCs w:val="22"/>
              </w:rPr>
              <w:t>$385,746</w:t>
            </w:r>
          </w:p>
        </w:tc>
        <w:tc>
          <w:tcPr>
            <w:tcW w:w="1779"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right"/>
              <w:rPr>
                <w:rFonts w:ascii="Calibri" w:hAnsi="Calibri"/>
                <w:color w:val="000000"/>
                <w:sz w:val="22"/>
                <w:szCs w:val="22"/>
              </w:rPr>
            </w:pPr>
            <w:r w:rsidRPr="00A22F8E">
              <w:rPr>
                <w:rFonts w:ascii="Calibri" w:hAnsi="Calibri"/>
                <w:color w:val="FF0000"/>
                <w:sz w:val="22"/>
                <w:szCs w:val="22"/>
              </w:rPr>
              <w:t>34.1</w:t>
            </w:r>
          </w:p>
        </w:tc>
      </w:tr>
      <w:tr w:rsidR="00A22F8E" w:rsidRPr="00A22F8E" w:rsidTr="007811E7">
        <w:trPr>
          <w:trHeight w:val="288"/>
          <w:jc w:val="center"/>
        </w:trPr>
        <w:tc>
          <w:tcPr>
            <w:tcW w:w="3940" w:type="dxa"/>
            <w:tcBorders>
              <w:top w:val="nil"/>
              <w:left w:val="nil"/>
              <w:bottom w:val="nil"/>
              <w:right w:val="nil"/>
            </w:tcBorders>
            <w:shd w:val="clear" w:color="auto" w:fill="auto"/>
            <w:noWrap/>
            <w:vAlign w:val="bottom"/>
            <w:hideMark/>
          </w:tcPr>
          <w:p w:rsidR="00A22F8E" w:rsidRPr="00A22F8E" w:rsidRDefault="00A22F8E" w:rsidP="00A22F8E">
            <w:pPr>
              <w:spacing w:before="0" w:after="0"/>
              <w:ind w:firstLineChars="200" w:firstLine="440"/>
              <w:jc w:val="left"/>
              <w:rPr>
                <w:rFonts w:ascii="Calibri" w:hAnsi="Calibri"/>
                <w:color w:val="000000"/>
                <w:sz w:val="22"/>
                <w:szCs w:val="22"/>
              </w:rPr>
            </w:pPr>
            <w:r w:rsidRPr="00A22F8E">
              <w:rPr>
                <w:rFonts w:ascii="Calibri" w:hAnsi="Calibri"/>
                <w:color w:val="000000"/>
                <w:sz w:val="22"/>
                <w:szCs w:val="22"/>
              </w:rPr>
              <w:t>United States</w:t>
            </w:r>
          </w:p>
        </w:tc>
        <w:tc>
          <w:tcPr>
            <w:tcW w:w="1800"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right"/>
              <w:rPr>
                <w:rFonts w:ascii="Calibri" w:hAnsi="Calibri"/>
                <w:color w:val="000000"/>
                <w:sz w:val="22"/>
                <w:szCs w:val="22"/>
              </w:rPr>
            </w:pPr>
            <w:r w:rsidRPr="00A22F8E">
              <w:rPr>
                <w:rFonts w:ascii="Calibri" w:hAnsi="Calibri"/>
                <w:color w:val="000000"/>
                <w:sz w:val="22"/>
                <w:szCs w:val="22"/>
              </w:rPr>
              <w:t>$31,729</w:t>
            </w:r>
          </w:p>
        </w:tc>
        <w:tc>
          <w:tcPr>
            <w:tcW w:w="1779"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right"/>
              <w:rPr>
                <w:rFonts w:ascii="Calibri" w:hAnsi="Calibri"/>
                <w:color w:val="000000"/>
                <w:sz w:val="22"/>
                <w:szCs w:val="22"/>
              </w:rPr>
            </w:pPr>
            <w:r w:rsidRPr="00A22F8E">
              <w:rPr>
                <w:rFonts w:ascii="Calibri" w:hAnsi="Calibri"/>
                <w:color w:val="000000"/>
                <w:sz w:val="22"/>
                <w:szCs w:val="22"/>
              </w:rPr>
              <w:t>2.8</w:t>
            </w:r>
          </w:p>
        </w:tc>
      </w:tr>
      <w:tr w:rsidR="00A22F8E" w:rsidRPr="00A22F8E" w:rsidTr="007811E7">
        <w:trPr>
          <w:trHeight w:val="288"/>
          <w:jc w:val="center"/>
        </w:trPr>
        <w:tc>
          <w:tcPr>
            <w:tcW w:w="3940" w:type="dxa"/>
            <w:tcBorders>
              <w:top w:val="nil"/>
              <w:left w:val="nil"/>
              <w:bottom w:val="nil"/>
              <w:right w:val="nil"/>
            </w:tcBorders>
            <w:shd w:val="clear" w:color="auto" w:fill="auto"/>
            <w:noWrap/>
            <w:vAlign w:val="bottom"/>
            <w:hideMark/>
          </w:tcPr>
          <w:p w:rsidR="00A22F8E" w:rsidRPr="00A22F8E" w:rsidRDefault="00A22F8E" w:rsidP="00A22F8E">
            <w:pPr>
              <w:spacing w:before="0" w:after="0"/>
              <w:ind w:firstLineChars="200" w:firstLine="440"/>
              <w:jc w:val="left"/>
              <w:rPr>
                <w:rFonts w:ascii="Calibri" w:hAnsi="Calibri"/>
                <w:color w:val="000000"/>
                <w:sz w:val="22"/>
                <w:szCs w:val="22"/>
              </w:rPr>
            </w:pPr>
            <w:r w:rsidRPr="00A22F8E">
              <w:rPr>
                <w:rFonts w:ascii="Calibri" w:hAnsi="Calibri"/>
                <w:color w:val="000000"/>
                <w:sz w:val="22"/>
                <w:szCs w:val="22"/>
              </w:rPr>
              <w:t>Japan</w:t>
            </w:r>
          </w:p>
        </w:tc>
        <w:tc>
          <w:tcPr>
            <w:tcW w:w="1800"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right"/>
              <w:rPr>
                <w:rFonts w:ascii="Calibri" w:hAnsi="Calibri"/>
                <w:color w:val="000000"/>
                <w:sz w:val="22"/>
                <w:szCs w:val="22"/>
              </w:rPr>
            </w:pPr>
            <w:r w:rsidRPr="00A22F8E">
              <w:rPr>
                <w:rFonts w:ascii="Calibri" w:hAnsi="Calibri"/>
                <w:color w:val="000000"/>
                <w:sz w:val="22"/>
                <w:szCs w:val="22"/>
              </w:rPr>
              <w:t>$1,769</w:t>
            </w:r>
          </w:p>
        </w:tc>
        <w:tc>
          <w:tcPr>
            <w:tcW w:w="1779"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right"/>
              <w:rPr>
                <w:rFonts w:ascii="Calibri" w:hAnsi="Calibri"/>
                <w:color w:val="000000"/>
                <w:sz w:val="22"/>
                <w:szCs w:val="22"/>
              </w:rPr>
            </w:pPr>
            <w:r w:rsidRPr="00A22F8E">
              <w:rPr>
                <w:rFonts w:ascii="Calibri" w:hAnsi="Calibri"/>
                <w:color w:val="000000"/>
                <w:sz w:val="22"/>
                <w:szCs w:val="22"/>
              </w:rPr>
              <w:t>0.2</w:t>
            </w:r>
          </w:p>
        </w:tc>
      </w:tr>
      <w:tr w:rsidR="00A22F8E" w:rsidRPr="00A22F8E" w:rsidTr="007811E7">
        <w:trPr>
          <w:trHeight w:val="288"/>
          <w:jc w:val="center"/>
        </w:trPr>
        <w:tc>
          <w:tcPr>
            <w:tcW w:w="3940" w:type="dxa"/>
            <w:tcBorders>
              <w:top w:val="nil"/>
              <w:left w:val="nil"/>
              <w:bottom w:val="nil"/>
              <w:right w:val="nil"/>
            </w:tcBorders>
            <w:shd w:val="clear" w:color="auto" w:fill="auto"/>
            <w:noWrap/>
            <w:vAlign w:val="bottom"/>
            <w:hideMark/>
          </w:tcPr>
          <w:p w:rsidR="00A22F8E" w:rsidRPr="00A22F8E" w:rsidRDefault="00A22F8E" w:rsidP="00A22F8E">
            <w:pPr>
              <w:spacing w:before="0" w:after="0"/>
              <w:ind w:firstLineChars="100" w:firstLine="220"/>
              <w:jc w:val="left"/>
              <w:rPr>
                <w:rFonts w:ascii="Calibri" w:hAnsi="Calibri"/>
                <w:color w:val="000000"/>
                <w:sz w:val="22"/>
                <w:szCs w:val="22"/>
              </w:rPr>
            </w:pPr>
            <w:r w:rsidRPr="00A22F8E">
              <w:rPr>
                <w:rFonts w:ascii="Calibri" w:hAnsi="Calibri"/>
                <w:color w:val="000000"/>
                <w:sz w:val="22"/>
                <w:szCs w:val="22"/>
              </w:rPr>
              <w:t>Developing countries</w:t>
            </w:r>
          </w:p>
        </w:tc>
        <w:tc>
          <w:tcPr>
            <w:tcW w:w="1800"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right"/>
              <w:rPr>
                <w:rFonts w:ascii="Calibri" w:hAnsi="Calibri"/>
                <w:color w:val="000000"/>
                <w:sz w:val="22"/>
                <w:szCs w:val="22"/>
              </w:rPr>
            </w:pPr>
            <w:r w:rsidRPr="00A22F8E">
              <w:rPr>
                <w:rFonts w:ascii="Calibri" w:hAnsi="Calibri"/>
                <w:color w:val="000000"/>
                <w:sz w:val="22"/>
                <w:szCs w:val="22"/>
              </w:rPr>
              <w:t>$557,055</w:t>
            </w:r>
          </w:p>
        </w:tc>
        <w:tc>
          <w:tcPr>
            <w:tcW w:w="1779"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right"/>
              <w:rPr>
                <w:rFonts w:ascii="Calibri" w:hAnsi="Calibri"/>
                <w:color w:val="000000"/>
                <w:sz w:val="22"/>
                <w:szCs w:val="22"/>
              </w:rPr>
            </w:pPr>
            <w:r w:rsidRPr="00A22F8E">
              <w:rPr>
                <w:rFonts w:ascii="Calibri" w:hAnsi="Calibri"/>
                <w:color w:val="000000"/>
                <w:sz w:val="22"/>
                <w:szCs w:val="22"/>
              </w:rPr>
              <w:t>49.3</w:t>
            </w:r>
          </w:p>
        </w:tc>
      </w:tr>
      <w:tr w:rsidR="00A22F8E" w:rsidRPr="00A22F8E" w:rsidTr="007811E7">
        <w:trPr>
          <w:trHeight w:val="288"/>
          <w:jc w:val="center"/>
        </w:trPr>
        <w:tc>
          <w:tcPr>
            <w:tcW w:w="3940" w:type="dxa"/>
            <w:tcBorders>
              <w:top w:val="nil"/>
              <w:left w:val="nil"/>
              <w:bottom w:val="nil"/>
              <w:right w:val="nil"/>
            </w:tcBorders>
            <w:shd w:val="clear" w:color="auto" w:fill="auto"/>
            <w:noWrap/>
            <w:vAlign w:val="bottom"/>
            <w:hideMark/>
          </w:tcPr>
          <w:p w:rsidR="00A22F8E" w:rsidRPr="00A22F8E" w:rsidRDefault="00A22F8E" w:rsidP="00A22F8E">
            <w:pPr>
              <w:spacing w:before="0" w:after="0"/>
              <w:ind w:firstLineChars="200" w:firstLine="440"/>
              <w:jc w:val="left"/>
              <w:rPr>
                <w:rFonts w:ascii="Calibri" w:hAnsi="Calibri"/>
                <w:color w:val="000000"/>
                <w:sz w:val="22"/>
                <w:szCs w:val="22"/>
              </w:rPr>
            </w:pPr>
            <w:r w:rsidRPr="00A22F8E">
              <w:rPr>
                <w:rFonts w:ascii="Calibri" w:hAnsi="Calibri"/>
                <w:color w:val="000000"/>
                <w:sz w:val="22"/>
                <w:szCs w:val="22"/>
              </w:rPr>
              <w:t>Africa</w:t>
            </w:r>
          </w:p>
        </w:tc>
        <w:tc>
          <w:tcPr>
            <w:tcW w:w="1800"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right"/>
              <w:rPr>
                <w:rFonts w:ascii="Calibri" w:hAnsi="Calibri"/>
                <w:color w:val="000000"/>
                <w:sz w:val="22"/>
                <w:szCs w:val="22"/>
              </w:rPr>
            </w:pPr>
            <w:r w:rsidRPr="00A22F8E">
              <w:rPr>
                <w:rFonts w:ascii="Calibri" w:hAnsi="Calibri"/>
                <w:color w:val="000000"/>
                <w:sz w:val="22"/>
                <w:szCs w:val="22"/>
              </w:rPr>
              <w:t>$49,165</w:t>
            </w:r>
          </w:p>
        </w:tc>
        <w:tc>
          <w:tcPr>
            <w:tcW w:w="1779"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right"/>
              <w:rPr>
                <w:rFonts w:ascii="Calibri" w:hAnsi="Calibri"/>
                <w:color w:val="000000"/>
                <w:sz w:val="22"/>
                <w:szCs w:val="22"/>
              </w:rPr>
            </w:pPr>
            <w:r w:rsidRPr="00A22F8E">
              <w:rPr>
                <w:rFonts w:ascii="Calibri" w:hAnsi="Calibri"/>
                <w:color w:val="000000"/>
                <w:sz w:val="22"/>
                <w:szCs w:val="22"/>
              </w:rPr>
              <w:t>4.3</w:t>
            </w:r>
          </w:p>
        </w:tc>
      </w:tr>
      <w:tr w:rsidR="00A22F8E" w:rsidRPr="00A22F8E" w:rsidTr="007811E7">
        <w:trPr>
          <w:trHeight w:val="288"/>
          <w:jc w:val="center"/>
        </w:trPr>
        <w:tc>
          <w:tcPr>
            <w:tcW w:w="3940" w:type="dxa"/>
            <w:tcBorders>
              <w:top w:val="nil"/>
              <w:left w:val="nil"/>
              <w:bottom w:val="nil"/>
              <w:right w:val="nil"/>
            </w:tcBorders>
            <w:shd w:val="clear" w:color="auto" w:fill="auto"/>
            <w:noWrap/>
            <w:vAlign w:val="bottom"/>
            <w:hideMark/>
          </w:tcPr>
          <w:p w:rsidR="00A22F8E" w:rsidRPr="00A22F8E" w:rsidRDefault="00A22F8E" w:rsidP="00A22F8E">
            <w:pPr>
              <w:spacing w:before="0" w:after="0"/>
              <w:ind w:firstLineChars="200" w:firstLine="440"/>
              <w:jc w:val="left"/>
              <w:rPr>
                <w:rFonts w:ascii="Calibri" w:hAnsi="Calibri"/>
                <w:color w:val="000000"/>
                <w:sz w:val="22"/>
                <w:szCs w:val="22"/>
              </w:rPr>
            </w:pPr>
            <w:r w:rsidRPr="00A22F8E">
              <w:rPr>
                <w:rFonts w:ascii="Calibri" w:hAnsi="Calibri"/>
                <w:color w:val="000000"/>
                <w:sz w:val="22"/>
                <w:szCs w:val="22"/>
              </w:rPr>
              <w:t>Latin America and the Caribbean</w:t>
            </w:r>
          </w:p>
        </w:tc>
        <w:tc>
          <w:tcPr>
            <w:tcW w:w="1800"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right"/>
              <w:rPr>
                <w:rFonts w:ascii="Calibri" w:hAnsi="Calibri"/>
                <w:color w:val="000000"/>
                <w:sz w:val="22"/>
                <w:szCs w:val="22"/>
              </w:rPr>
            </w:pPr>
            <w:r w:rsidRPr="00A22F8E">
              <w:rPr>
                <w:rFonts w:ascii="Calibri" w:hAnsi="Calibri"/>
                <w:color w:val="000000"/>
                <w:sz w:val="22"/>
                <w:szCs w:val="22"/>
              </w:rPr>
              <w:t>$175,410</w:t>
            </w:r>
          </w:p>
        </w:tc>
        <w:tc>
          <w:tcPr>
            <w:tcW w:w="1779"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right"/>
              <w:rPr>
                <w:rFonts w:ascii="Calibri" w:hAnsi="Calibri"/>
                <w:color w:val="000000"/>
                <w:sz w:val="22"/>
                <w:szCs w:val="22"/>
              </w:rPr>
            </w:pPr>
            <w:r w:rsidRPr="00A22F8E">
              <w:rPr>
                <w:rFonts w:ascii="Calibri" w:hAnsi="Calibri"/>
                <w:color w:val="000000"/>
                <w:sz w:val="22"/>
                <w:szCs w:val="22"/>
              </w:rPr>
              <w:t>15.5</w:t>
            </w:r>
          </w:p>
        </w:tc>
      </w:tr>
      <w:tr w:rsidR="00A22F8E" w:rsidRPr="00A22F8E" w:rsidTr="007811E7">
        <w:trPr>
          <w:trHeight w:val="288"/>
          <w:jc w:val="center"/>
        </w:trPr>
        <w:tc>
          <w:tcPr>
            <w:tcW w:w="3940" w:type="dxa"/>
            <w:tcBorders>
              <w:top w:val="nil"/>
              <w:left w:val="nil"/>
              <w:bottom w:val="nil"/>
              <w:right w:val="nil"/>
            </w:tcBorders>
            <w:shd w:val="clear" w:color="auto" w:fill="auto"/>
            <w:noWrap/>
            <w:vAlign w:val="bottom"/>
            <w:hideMark/>
          </w:tcPr>
          <w:p w:rsidR="00A22F8E" w:rsidRPr="00A22F8E" w:rsidRDefault="00A22F8E" w:rsidP="00A22F8E">
            <w:pPr>
              <w:spacing w:before="0" w:after="0"/>
              <w:ind w:firstLineChars="200" w:firstLine="440"/>
              <w:jc w:val="left"/>
              <w:rPr>
                <w:rFonts w:ascii="Calibri" w:hAnsi="Calibri"/>
                <w:color w:val="000000"/>
                <w:sz w:val="22"/>
                <w:szCs w:val="22"/>
              </w:rPr>
            </w:pPr>
            <w:r w:rsidRPr="00A22F8E">
              <w:rPr>
                <w:rFonts w:ascii="Calibri" w:hAnsi="Calibri"/>
                <w:color w:val="FF0000"/>
                <w:sz w:val="22"/>
                <w:szCs w:val="22"/>
              </w:rPr>
              <w:t>Asia</w:t>
            </w:r>
          </w:p>
        </w:tc>
        <w:tc>
          <w:tcPr>
            <w:tcW w:w="1800"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right"/>
              <w:rPr>
                <w:rFonts w:ascii="Calibri" w:hAnsi="Calibri"/>
                <w:color w:val="000000"/>
                <w:sz w:val="22"/>
                <w:szCs w:val="22"/>
              </w:rPr>
            </w:pPr>
            <w:r w:rsidRPr="00A22F8E">
              <w:rPr>
                <w:rFonts w:ascii="Calibri" w:hAnsi="Calibri"/>
                <w:color w:val="000000"/>
                <w:sz w:val="22"/>
                <w:szCs w:val="22"/>
              </w:rPr>
              <w:t>$331,677</w:t>
            </w:r>
          </w:p>
        </w:tc>
        <w:tc>
          <w:tcPr>
            <w:tcW w:w="1779"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right"/>
              <w:rPr>
                <w:rFonts w:ascii="Calibri" w:hAnsi="Calibri"/>
                <w:color w:val="000000"/>
                <w:sz w:val="22"/>
                <w:szCs w:val="22"/>
              </w:rPr>
            </w:pPr>
            <w:r w:rsidRPr="00A22F8E">
              <w:rPr>
                <w:rFonts w:ascii="Calibri" w:hAnsi="Calibri"/>
                <w:color w:val="FF0000"/>
                <w:sz w:val="22"/>
                <w:szCs w:val="22"/>
              </w:rPr>
              <w:t>29.3</w:t>
            </w:r>
          </w:p>
        </w:tc>
      </w:tr>
      <w:tr w:rsidR="00A22F8E" w:rsidRPr="00A22F8E" w:rsidTr="007811E7">
        <w:trPr>
          <w:trHeight w:val="288"/>
          <w:jc w:val="center"/>
        </w:trPr>
        <w:tc>
          <w:tcPr>
            <w:tcW w:w="3940" w:type="dxa"/>
            <w:tcBorders>
              <w:top w:val="nil"/>
              <w:left w:val="nil"/>
              <w:bottom w:val="nil"/>
              <w:right w:val="nil"/>
            </w:tcBorders>
            <w:shd w:val="clear" w:color="auto" w:fill="auto"/>
            <w:noWrap/>
            <w:vAlign w:val="bottom"/>
            <w:hideMark/>
          </w:tcPr>
          <w:p w:rsidR="00A22F8E" w:rsidRPr="00A22F8E" w:rsidRDefault="00A22F8E" w:rsidP="00A22F8E">
            <w:pPr>
              <w:spacing w:before="0" w:after="0"/>
              <w:ind w:firstLineChars="100" w:firstLine="220"/>
              <w:jc w:val="left"/>
              <w:rPr>
                <w:rFonts w:ascii="Calibri" w:hAnsi="Calibri"/>
                <w:color w:val="000000"/>
                <w:sz w:val="22"/>
                <w:szCs w:val="22"/>
              </w:rPr>
            </w:pPr>
            <w:r w:rsidRPr="00A22F8E">
              <w:rPr>
                <w:rFonts w:ascii="Calibri" w:hAnsi="Calibri"/>
                <w:color w:val="000000"/>
                <w:sz w:val="22"/>
                <w:szCs w:val="22"/>
              </w:rPr>
              <w:t>Transition economies</w:t>
            </w:r>
          </w:p>
        </w:tc>
        <w:tc>
          <w:tcPr>
            <w:tcW w:w="1800"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right"/>
              <w:rPr>
                <w:rFonts w:ascii="Calibri" w:hAnsi="Calibri"/>
                <w:color w:val="000000"/>
                <w:sz w:val="22"/>
                <w:szCs w:val="22"/>
              </w:rPr>
            </w:pPr>
            <w:r w:rsidRPr="00A22F8E">
              <w:rPr>
                <w:rFonts w:ascii="Calibri" w:hAnsi="Calibri"/>
                <w:color w:val="000000"/>
                <w:sz w:val="22"/>
                <w:szCs w:val="22"/>
              </w:rPr>
              <w:t>$31,891</w:t>
            </w:r>
          </w:p>
        </w:tc>
        <w:tc>
          <w:tcPr>
            <w:tcW w:w="1779"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right"/>
              <w:rPr>
                <w:rFonts w:ascii="Calibri" w:hAnsi="Calibri"/>
                <w:color w:val="000000"/>
                <w:sz w:val="22"/>
                <w:szCs w:val="22"/>
              </w:rPr>
            </w:pPr>
            <w:r w:rsidRPr="00A22F8E">
              <w:rPr>
                <w:rFonts w:ascii="Calibri" w:hAnsi="Calibri"/>
                <w:color w:val="000000"/>
                <w:sz w:val="22"/>
                <w:szCs w:val="22"/>
              </w:rPr>
              <w:t>2.8</w:t>
            </w:r>
          </w:p>
        </w:tc>
      </w:tr>
      <w:tr w:rsidR="00A22F8E" w:rsidRPr="00A22F8E" w:rsidTr="007811E7">
        <w:trPr>
          <w:trHeight w:val="288"/>
          <w:jc w:val="center"/>
        </w:trPr>
        <w:tc>
          <w:tcPr>
            <w:tcW w:w="3940" w:type="dxa"/>
            <w:tcBorders>
              <w:top w:val="single" w:sz="4" w:space="0" w:color="auto"/>
              <w:left w:val="nil"/>
              <w:bottom w:val="single" w:sz="4" w:space="0" w:color="auto"/>
              <w:right w:val="nil"/>
            </w:tcBorders>
            <w:shd w:val="clear" w:color="auto" w:fill="auto"/>
            <w:noWrap/>
            <w:vAlign w:val="bottom"/>
            <w:hideMark/>
          </w:tcPr>
          <w:p w:rsidR="00A22F8E" w:rsidRPr="00A22F8E" w:rsidRDefault="00A22F8E" w:rsidP="00A22F8E">
            <w:pPr>
              <w:spacing w:before="0" w:after="0"/>
              <w:jc w:val="left"/>
              <w:rPr>
                <w:rFonts w:ascii="Calibri" w:hAnsi="Calibri"/>
                <w:b/>
                <w:bCs/>
                <w:color w:val="000000"/>
                <w:sz w:val="22"/>
                <w:szCs w:val="22"/>
              </w:rPr>
            </w:pPr>
            <w:r w:rsidRPr="00A22F8E">
              <w:rPr>
                <w:rFonts w:ascii="Calibri" w:hAnsi="Calibri"/>
                <w:b/>
                <w:bCs/>
                <w:color w:val="000000"/>
                <w:sz w:val="22"/>
                <w:szCs w:val="22"/>
              </w:rPr>
              <w:t>BRICS</w:t>
            </w:r>
          </w:p>
        </w:tc>
        <w:tc>
          <w:tcPr>
            <w:tcW w:w="1800" w:type="dxa"/>
            <w:tcBorders>
              <w:top w:val="single" w:sz="4" w:space="0" w:color="auto"/>
              <w:left w:val="nil"/>
              <w:bottom w:val="single" w:sz="4" w:space="0" w:color="auto"/>
              <w:right w:val="nil"/>
            </w:tcBorders>
            <w:shd w:val="clear" w:color="auto" w:fill="auto"/>
            <w:noWrap/>
            <w:vAlign w:val="bottom"/>
            <w:hideMark/>
          </w:tcPr>
          <w:p w:rsidR="00A22F8E" w:rsidRPr="00A22F8E" w:rsidRDefault="00A22F8E" w:rsidP="00A22F8E">
            <w:pPr>
              <w:spacing w:before="0" w:after="0"/>
              <w:jc w:val="right"/>
              <w:rPr>
                <w:rFonts w:ascii="Calibri" w:hAnsi="Calibri"/>
                <w:b/>
                <w:bCs/>
                <w:color w:val="000000"/>
                <w:sz w:val="22"/>
                <w:szCs w:val="22"/>
              </w:rPr>
            </w:pPr>
            <w:r w:rsidRPr="00A22F8E">
              <w:rPr>
                <w:rFonts w:ascii="Calibri" w:hAnsi="Calibri"/>
                <w:b/>
                <w:bCs/>
                <w:color w:val="000000"/>
                <w:sz w:val="22"/>
                <w:szCs w:val="22"/>
              </w:rPr>
              <w:t>$28,599</w:t>
            </w:r>
          </w:p>
        </w:tc>
        <w:tc>
          <w:tcPr>
            <w:tcW w:w="1779" w:type="dxa"/>
            <w:tcBorders>
              <w:top w:val="single" w:sz="4" w:space="0" w:color="auto"/>
              <w:left w:val="nil"/>
              <w:bottom w:val="single" w:sz="4" w:space="0" w:color="auto"/>
              <w:right w:val="nil"/>
            </w:tcBorders>
            <w:shd w:val="clear" w:color="auto" w:fill="auto"/>
            <w:noWrap/>
            <w:vAlign w:val="bottom"/>
            <w:hideMark/>
          </w:tcPr>
          <w:p w:rsidR="00A22F8E" w:rsidRPr="00A22F8E" w:rsidRDefault="00A22F8E" w:rsidP="00A22F8E">
            <w:pPr>
              <w:spacing w:before="0" w:after="0"/>
              <w:jc w:val="right"/>
              <w:rPr>
                <w:rFonts w:ascii="Calibri" w:hAnsi="Calibri"/>
                <w:b/>
                <w:bCs/>
                <w:color w:val="000000"/>
                <w:sz w:val="22"/>
                <w:szCs w:val="22"/>
              </w:rPr>
            </w:pPr>
            <w:r w:rsidRPr="00A22F8E">
              <w:rPr>
                <w:rFonts w:ascii="Calibri" w:hAnsi="Calibri"/>
                <w:b/>
                <w:bCs/>
                <w:color w:val="000000"/>
                <w:sz w:val="22"/>
                <w:szCs w:val="22"/>
              </w:rPr>
              <w:t>2.5</w:t>
            </w:r>
          </w:p>
        </w:tc>
      </w:tr>
      <w:tr w:rsidR="007811E7" w:rsidRPr="007811E7" w:rsidTr="007811E7">
        <w:trPr>
          <w:trHeight w:val="288"/>
          <w:jc w:val="center"/>
        </w:trPr>
        <w:tc>
          <w:tcPr>
            <w:tcW w:w="7519" w:type="dxa"/>
            <w:gridSpan w:val="3"/>
            <w:tcBorders>
              <w:top w:val="single" w:sz="4" w:space="0" w:color="auto"/>
              <w:left w:val="nil"/>
            </w:tcBorders>
            <w:shd w:val="clear" w:color="auto" w:fill="auto"/>
            <w:noWrap/>
            <w:vAlign w:val="bottom"/>
          </w:tcPr>
          <w:p w:rsidR="007811E7" w:rsidRPr="007811E7" w:rsidRDefault="007811E7" w:rsidP="007811E7">
            <w:pPr>
              <w:spacing w:before="0" w:after="0"/>
              <w:jc w:val="left"/>
              <w:rPr>
                <w:rFonts w:ascii="Calibri" w:hAnsi="Calibri"/>
                <w:bCs/>
                <w:color w:val="000000"/>
                <w:sz w:val="22"/>
                <w:szCs w:val="22"/>
              </w:rPr>
            </w:pPr>
            <w:r w:rsidRPr="007811E7">
              <w:rPr>
                <w:rFonts w:ascii="Calibri" w:hAnsi="Calibri"/>
                <w:bCs/>
                <w:color w:val="000000"/>
                <w:sz w:val="22"/>
                <w:szCs w:val="22"/>
              </w:rPr>
              <w:t xml:space="preserve">Source: UNCTAD, FDI/TNC database, reproduced from </w:t>
            </w:r>
            <w:r w:rsidRPr="007811E7">
              <w:rPr>
                <w:rFonts w:ascii="Calibri" w:hAnsi="Calibri"/>
                <w:bCs/>
                <w:i/>
                <w:color w:val="000000"/>
                <w:sz w:val="22"/>
                <w:szCs w:val="22"/>
              </w:rPr>
              <w:t>Global Investment Trends Monitor, Special Edition,</w:t>
            </w:r>
            <w:r w:rsidRPr="007811E7">
              <w:rPr>
                <w:rFonts w:ascii="Calibri" w:hAnsi="Calibri"/>
                <w:bCs/>
                <w:color w:val="000000"/>
                <w:sz w:val="22"/>
                <w:szCs w:val="22"/>
              </w:rPr>
              <w:t xml:space="preserve"> April 2013</w:t>
            </w:r>
          </w:p>
        </w:tc>
      </w:tr>
    </w:tbl>
    <w:p w:rsidR="005F66B5" w:rsidRDefault="00205179" w:rsidP="005F66B5">
      <w:pPr>
        <w:rPr>
          <w:color w:val="000000"/>
          <w:sz w:val="23"/>
        </w:rPr>
      </w:pPr>
      <w:r>
        <w:t>Several observations are evident:  while the regional and neighboring investments are extremely important for BRICS, a large share goes to developed countries, in particular, 34.1% to the EU.</w:t>
      </w:r>
      <w:r w:rsidR="00696B64">
        <w:t xml:space="preserve">  </w:t>
      </w:r>
      <w:r w:rsidR="00696B64">
        <w:rPr>
          <w:color w:val="000000"/>
          <w:spacing w:val="-4"/>
          <w:sz w:val="23"/>
        </w:rPr>
        <w:t>FDI between BRICS is limited:  “the share of FDI outward stock holdings by BRICS countries in other BRICS countries is only around 2.5%, compared to the 10% that BRICS represent in world inward stock.”</w:t>
      </w:r>
      <w:r w:rsidR="00696B64">
        <w:rPr>
          <w:rStyle w:val="af0"/>
          <w:color w:val="000000"/>
          <w:spacing w:val="-4"/>
          <w:sz w:val="23"/>
        </w:rPr>
        <w:footnoteReference w:id="3"/>
      </w:r>
      <w:r w:rsidR="005F66B5">
        <w:rPr>
          <w:color w:val="000000"/>
          <w:spacing w:val="-4"/>
          <w:sz w:val="23"/>
        </w:rPr>
        <w:t xml:space="preserve">  </w:t>
      </w:r>
      <w:r w:rsidR="005F66B5">
        <w:rPr>
          <w:color w:val="000000"/>
          <w:sz w:val="23"/>
        </w:rPr>
        <w:t>However, FDI from BRICS to other developing and transition economies (outside their own region and excluding other BRICS) is significant for the host region. For example, 25% of FDI flows and 14% of stock to Africa originate in BRICS.</w:t>
      </w:r>
      <w:r w:rsidR="005F66B5">
        <w:rPr>
          <w:rStyle w:val="af0"/>
          <w:color w:val="000000"/>
          <w:sz w:val="23"/>
        </w:rPr>
        <w:footnoteReference w:id="4"/>
      </w:r>
    </w:p>
    <w:p w:rsidR="00A22F8E" w:rsidRPr="00F86D8B" w:rsidRDefault="00F86D8B" w:rsidP="00F86D8B">
      <w:pPr>
        <w:jc w:val="center"/>
        <w:rPr>
          <w:b/>
          <w:sz w:val="28"/>
        </w:rPr>
      </w:pPr>
      <w:r w:rsidRPr="00F86D8B">
        <w:rPr>
          <w:b/>
          <w:color w:val="000000"/>
          <w:szCs w:val="22"/>
        </w:rPr>
        <w:t xml:space="preserve">Table 2.  </w:t>
      </w:r>
      <w:r w:rsidRPr="00A22F8E">
        <w:rPr>
          <w:b/>
          <w:color w:val="000000"/>
          <w:szCs w:val="22"/>
        </w:rPr>
        <w:t>Estimated FDI Flows and Stock to African Countries, 2010</w:t>
      </w:r>
    </w:p>
    <w:tbl>
      <w:tblPr>
        <w:tblW w:w="7680" w:type="dxa"/>
        <w:jc w:val="center"/>
        <w:tblInd w:w="93" w:type="dxa"/>
        <w:tblLook w:val="04A0" w:firstRow="1" w:lastRow="0" w:firstColumn="1" w:lastColumn="0" w:noHBand="0" w:noVBand="1"/>
      </w:tblPr>
      <w:tblGrid>
        <w:gridCol w:w="3523"/>
        <w:gridCol w:w="1041"/>
        <w:gridCol w:w="1196"/>
        <w:gridCol w:w="960"/>
        <w:gridCol w:w="960"/>
      </w:tblGrid>
      <w:tr w:rsidR="00A22F8E" w:rsidRPr="00A22F8E" w:rsidTr="00F86D8B">
        <w:trPr>
          <w:trHeight w:val="288"/>
          <w:jc w:val="center"/>
        </w:trPr>
        <w:tc>
          <w:tcPr>
            <w:tcW w:w="5760" w:type="dxa"/>
            <w:gridSpan w:val="3"/>
            <w:tcBorders>
              <w:top w:val="nil"/>
              <w:left w:val="nil"/>
              <w:bottom w:val="nil"/>
              <w:right w:val="nil"/>
            </w:tcBorders>
            <w:shd w:val="clear" w:color="auto" w:fill="auto"/>
            <w:noWrap/>
            <w:vAlign w:val="bottom"/>
            <w:hideMark/>
          </w:tcPr>
          <w:p w:rsidR="00A22F8E" w:rsidRPr="00A22F8E" w:rsidRDefault="00A22F8E" w:rsidP="00A22F8E">
            <w:pPr>
              <w:spacing w:before="0" w:after="0"/>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left"/>
              <w:rPr>
                <w:rFonts w:ascii="Calibri" w:hAnsi="Calibri"/>
                <w:color w:val="000000"/>
                <w:sz w:val="22"/>
                <w:szCs w:val="22"/>
              </w:rPr>
            </w:pPr>
          </w:p>
        </w:tc>
      </w:tr>
      <w:tr w:rsidR="00A22F8E" w:rsidRPr="00A22F8E" w:rsidTr="00F86D8B">
        <w:trPr>
          <w:trHeight w:val="288"/>
          <w:jc w:val="center"/>
        </w:trPr>
        <w:tc>
          <w:tcPr>
            <w:tcW w:w="3523"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left"/>
              <w:rPr>
                <w:rFonts w:ascii="Calibri" w:hAnsi="Calibri"/>
                <w:color w:val="000000"/>
                <w:sz w:val="22"/>
                <w:szCs w:val="22"/>
              </w:rPr>
            </w:pPr>
          </w:p>
        </w:tc>
        <w:tc>
          <w:tcPr>
            <w:tcW w:w="2237" w:type="dxa"/>
            <w:gridSpan w:val="2"/>
            <w:tcBorders>
              <w:top w:val="nil"/>
              <w:left w:val="nil"/>
              <w:bottom w:val="nil"/>
              <w:right w:val="nil"/>
            </w:tcBorders>
            <w:shd w:val="clear" w:color="auto" w:fill="auto"/>
            <w:noWrap/>
            <w:vAlign w:val="bottom"/>
            <w:hideMark/>
          </w:tcPr>
          <w:p w:rsidR="00A22F8E" w:rsidRPr="00A22F8E" w:rsidRDefault="00A22F8E" w:rsidP="00A22F8E">
            <w:pPr>
              <w:spacing w:before="0" w:after="0"/>
              <w:jc w:val="center"/>
              <w:rPr>
                <w:rFonts w:ascii="Calibri" w:hAnsi="Calibri"/>
                <w:color w:val="000000"/>
                <w:sz w:val="22"/>
                <w:szCs w:val="22"/>
              </w:rPr>
            </w:pPr>
            <w:r w:rsidRPr="00A22F8E">
              <w:rPr>
                <w:rFonts w:ascii="Calibri" w:hAnsi="Calibri"/>
                <w:color w:val="000000"/>
                <w:sz w:val="22"/>
                <w:szCs w:val="22"/>
              </w:rPr>
              <w:t>Millions</w:t>
            </w:r>
          </w:p>
        </w:tc>
        <w:tc>
          <w:tcPr>
            <w:tcW w:w="1920" w:type="dxa"/>
            <w:gridSpan w:val="2"/>
            <w:tcBorders>
              <w:top w:val="nil"/>
              <w:left w:val="nil"/>
              <w:bottom w:val="nil"/>
              <w:right w:val="nil"/>
            </w:tcBorders>
            <w:shd w:val="clear" w:color="auto" w:fill="auto"/>
            <w:noWrap/>
            <w:vAlign w:val="bottom"/>
            <w:hideMark/>
          </w:tcPr>
          <w:p w:rsidR="00A22F8E" w:rsidRPr="00A22F8E" w:rsidRDefault="00A22F8E" w:rsidP="00A22F8E">
            <w:pPr>
              <w:spacing w:before="0" w:after="0"/>
              <w:jc w:val="center"/>
              <w:rPr>
                <w:rFonts w:ascii="Calibri" w:hAnsi="Calibri"/>
                <w:color w:val="000000"/>
                <w:sz w:val="22"/>
                <w:szCs w:val="22"/>
              </w:rPr>
            </w:pPr>
            <w:r w:rsidRPr="00A22F8E">
              <w:rPr>
                <w:rFonts w:ascii="Calibri" w:hAnsi="Calibri"/>
                <w:color w:val="000000"/>
                <w:sz w:val="22"/>
                <w:szCs w:val="22"/>
              </w:rPr>
              <w:t>Share in total, %</w:t>
            </w:r>
          </w:p>
        </w:tc>
      </w:tr>
      <w:tr w:rsidR="00A22F8E" w:rsidRPr="00A22F8E" w:rsidTr="00F86D8B">
        <w:trPr>
          <w:trHeight w:val="288"/>
          <w:jc w:val="center"/>
        </w:trPr>
        <w:tc>
          <w:tcPr>
            <w:tcW w:w="3523" w:type="dxa"/>
            <w:tcBorders>
              <w:top w:val="nil"/>
              <w:left w:val="nil"/>
              <w:bottom w:val="single" w:sz="4" w:space="0" w:color="auto"/>
              <w:right w:val="nil"/>
            </w:tcBorders>
            <w:shd w:val="clear" w:color="auto" w:fill="auto"/>
            <w:noWrap/>
            <w:vAlign w:val="bottom"/>
            <w:hideMark/>
          </w:tcPr>
          <w:p w:rsidR="00A22F8E" w:rsidRPr="00A22F8E" w:rsidRDefault="00A22F8E" w:rsidP="00A22F8E">
            <w:pPr>
              <w:spacing w:before="0" w:after="0"/>
              <w:jc w:val="left"/>
              <w:rPr>
                <w:rFonts w:ascii="Calibri" w:hAnsi="Calibri"/>
                <w:b/>
                <w:bCs/>
                <w:color w:val="000000"/>
                <w:sz w:val="22"/>
                <w:szCs w:val="22"/>
              </w:rPr>
            </w:pPr>
            <w:r w:rsidRPr="00A22F8E">
              <w:rPr>
                <w:rFonts w:ascii="Calibri" w:hAnsi="Calibri"/>
                <w:b/>
                <w:bCs/>
                <w:color w:val="000000"/>
                <w:sz w:val="22"/>
                <w:szCs w:val="22"/>
              </w:rPr>
              <w:t>Home region</w:t>
            </w:r>
          </w:p>
        </w:tc>
        <w:tc>
          <w:tcPr>
            <w:tcW w:w="1041" w:type="dxa"/>
            <w:tcBorders>
              <w:top w:val="nil"/>
              <w:left w:val="nil"/>
              <w:bottom w:val="single" w:sz="4" w:space="0" w:color="auto"/>
              <w:right w:val="nil"/>
            </w:tcBorders>
            <w:shd w:val="clear" w:color="auto" w:fill="auto"/>
            <w:noWrap/>
            <w:vAlign w:val="bottom"/>
            <w:hideMark/>
          </w:tcPr>
          <w:p w:rsidR="00A22F8E" w:rsidRPr="00A22F8E" w:rsidRDefault="00A22F8E" w:rsidP="00A22F8E">
            <w:pPr>
              <w:spacing w:before="0" w:after="0"/>
              <w:jc w:val="left"/>
              <w:rPr>
                <w:rFonts w:ascii="Calibri" w:hAnsi="Calibri"/>
                <w:b/>
                <w:bCs/>
                <w:color w:val="000000"/>
                <w:sz w:val="22"/>
                <w:szCs w:val="22"/>
              </w:rPr>
            </w:pPr>
            <w:r w:rsidRPr="00A22F8E">
              <w:rPr>
                <w:rFonts w:ascii="Calibri" w:hAnsi="Calibri"/>
                <w:b/>
                <w:bCs/>
                <w:color w:val="000000"/>
                <w:sz w:val="22"/>
                <w:szCs w:val="22"/>
              </w:rPr>
              <w:t>Flows</w:t>
            </w:r>
          </w:p>
        </w:tc>
        <w:tc>
          <w:tcPr>
            <w:tcW w:w="1196" w:type="dxa"/>
            <w:tcBorders>
              <w:top w:val="nil"/>
              <w:left w:val="nil"/>
              <w:bottom w:val="single" w:sz="4" w:space="0" w:color="auto"/>
              <w:right w:val="nil"/>
            </w:tcBorders>
            <w:shd w:val="clear" w:color="auto" w:fill="auto"/>
            <w:noWrap/>
            <w:vAlign w:val="bottom"/>
            <w:hideMark/>
          </w:tcPr>
          <w:p w:rsidR="00A22F8E" w:rsidRPr="00A22F8E" w:rsidRDefault="00A22F8E" w:rsidP="00A22F8E">
            <w:pPr>
              <w:spacing w:before="0" w:after="0"/>
              <w:jc w:val="left"/>
              <w:rPr>
                <w:rFonts w:ascii="Calibri" w:hAnsi="Calibri"/>
                <w:b/>
                <w:bCs/>
                <w:color w:val="000000"/>
                <w:sz w:val="22"/>
                <w:szCs w:val="22"/>
              </w:rPr>
            </w:pPr>
            <w:r w:rsidRPr="00A22F8E">
              <w:rPr>
                <w:rFonts w:ascii="Calibri" w:hAnsi="Calibri"/>
                <w:b/>
                <w:bCs/>
                <w:color w:val="000000"/>
                <w:sz w:val="22"/>
                <w:szCs w:val="22"/>
              </w:rPr>
              <w:t>Stock</w:t>
            </w:r>
          </w:p>
        </w:tc>
        <w:tc>
          <w:tcPr>
            <w:tcW w:w="960" w:type="dxa"/>
            <w:tcBorders>
              <w:top w:val="nil"/>
              <w:left w:val="nil"/>
              <w:bottom w:val="single" w:sz="4" w:space="0" w:color="auto"/>
              <w:right w:val="nil"/>
            </w:tcBorders>
            <w:shd w:val="clear" w:color="auto" w:fill="auto"/>
            <w:noWrap/>
            <w:vAlign w:val="bottom"/>
            <w:hideMark/>
          </w:tcPr>
          <w:p w:rsidR="00A22F8E" w:rsidRPr="00A22F8E" w:rsidRDefault="00A22F8E" w:rsidP="00A22F8E">
            <w:pPr>
              <w:spacing w:before="0" w:after="0"/>
              <w:jc w:val="left"/>
              <w:rPr>
                <w:rFonts w:ascii="Calibri" w:hAnsi="Calibri"/>
                <w:b/>
                <w:bCs/>
                <w:color w:val="000000"/>
                <w:sz w:val="22"/>
                <w:szCs w:val="22"/>
              </w:rPr>
            </w:pPr>
            <w:r w:rsidRPr="00A22F8E">
              <w:rPr>
                <w:rFonts w:ascii="Calibri" w:hAnsi="Calibri"/>
                <w:b/>
                <w:bCs/>
                <w:color w:val="000000"/>
                <w:sz w:val="22"/>
                <w:szCs w:val="22"/>
              </w:rPr>
              <w:t>Flows</w:t>
            </w:r>
          </w:p>
        </w:tc>
        <w:tc>
          <w:tcPr>
            <w:tcW w:w="960" w:type="dxa"/>
            <w:tcBorders>
              <w:top w:val="nil"/>
              <w:left w:val="nil"/>
              <w:bottom w:val="single" w:sz="4" w:space="0" w:color="auto"/>
              <w:right w:val="nil"/>
            </w:tcBorders>
            <w:shd w:val="clear" w:color="auto" w:fill="auto"/>
            <w:noWrap/>
            <w:vAlign w:val="bottom"/>
            <w:hideMark/>
          </w:tcPr>
          <w:p w:rsidR="00A22F8E" w:rsidRPr="00A22F8E" w:rsidRDefault="00A22F8E" w:rsidP="00A22F8E">
            <w:pPr>
              <w:spacing w:before="0" w:after="0"/>
              <w:jc w:val="left"/>
              <w:rPr>
                <w:rFonts w:ascii="Calibri" w:hAnsi="Calibri"/>
                <w:b/>
                <w:bCs/>
                <w:color w:val="000000"/>
                <w:sz w:val="22"/>
                <w:szCs w:val="22"/>
              </w:rPr>
            </w:pPr>
            <w:r w:rsidRPr="00A22F8E">
              <w:rPr>
                <w:rFonts w:ascii="Calibri" w:hAnsi="Calibri"/>
                <w:b/>
                <w:bCs/>
                <w:color w:val="000000"/>
                <w:sz w:val="22"/>
                <w:szCs w:val="22"/>
              </w:rPr>
              <w:t>Stock</w:t>
            </w:r>
          </w:p>
        </w:tc>
      </w:tr>
      <w:tr w:rsidR="00A22F8E" w:rsidRPr="00A22F8E" w:rsidTr="00F86D8B">
        <w:trPr>
          <w:trHeight w:val="288"/>
          <w:jc w:val="center"/>
        </w:trPr>
        <w:tc>
          <w:tcPr>
            <w:tcW w:w="3523" w:type="dxa"/>
            <w:tcBorders>
              <w:top w:val="nil"/>
              <w:left w:val="nil"/>
              <w:bottom w:val="nil"/>
              <w:right w:val="nil"/>
            </w:tcBorders>
            <w:shd w:val="clear" w:color="auto" w:fill="auto"/>
            <w:noWrap/>
            <w:vAlign w:val="bottom"/>
            <w:hideMark/>
          </w:tcPr>
          <w:p w:rsidR="00A22F8E" w:rsidRPr="00A22F8E" w:rsidRDefault="00A22F8E" w:rsidP="00A22F8E">
            <w:pPr>
              <w:spacing w:before="0" w:after="0"/>
              <w:jc w:val="left"/>
              <w:rPr>
                <w:rFonts w:ascii="Calibri" w:hAnsi="Calibri"/>
                <w:b/>
                <w:bCs/>
                <w:color w:val="000000"/>
                <w:sz w:val="22"/>
                <w:szCs w:val="22"/>
              </w:rPr>
            </w:pPr>
            <w:r w:rsidRPr="00A22F8E">
              <w:rPr>
                <w:rFonts w:ascii="Calibri" w:hAnsi="Calibri"/>
                <w:b/>
                <w:bCs/>
                <w:color w:val="000000"/>
                <w:sz w:val="22"/>
                <w:szCs w:val="22"/>
              </w:rPr>
              <w:t>Total World</w:t>
            </w:r>
          </w:p>
        </w:tc>
        <w:tc>
          <w:tcPr>
            <w:tcW w:w="1041"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b/>
                <w:bCs/>
                <w:color w:val="000000"/>
                <w:sz w:val="22"/>
                <w:szCs w:val="22"/>
              </w:rPr>
            </w:pPr>
            <w:r w:rsidRPr="00A22F8E">
              <w:rPr>
                <w:rFonts w:ascii="Calibri" w:hAnsi="Calibri"/>
                <w:b/>
                <w:bCs/>
                <w:color w:val="000000"/>
                <w:sz w:val="22"/>
                <w:szCs w:val="22"/>
              </w:rPr>
              <w:t>$39,540</w:t>
            </w:r>
          </w:p>
        </w:tc>
        <w:tc>
          <w:tcPr>
            <w:tcW w:w="1196"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b/>
                <w:bCs/>
                <w:color w:val="000000"/>
                <w:sz w:val="22"/>
                <w:szCs w:val="22"/>
              </w:rPr>
            </w:pPr>
            <w:r w:rsidRPr="00A22F8E">
              <w:rPr>
                <w:rFonts w:ascii="Calibri" w:hAnsi="Calibri"/>
                <w:b/>
                <w:bCs/>
                <w:color w:val="000000"/>
                <w:sz w:val="22"/>
                <w:szCs w:val="22"/>
              </w:rPr>
              <w:t>$308,739</w:t>
            </w:r>
          </w:p>
        </w:tc>
        <w:tc>
          <w:tcPr>
            <w:tcW w:w="960"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b/>
                <w:bCs/>
                <w:color w:val="000000"/>
                <w:sz w:val="22"/>
                <w:szCs w:val="22"/>
              </w:rPr>
            </w:pPr>
            <w:r w:rsidRPr="00A22F8E">
              <w:rPr>
                <w:rFonts w:ascii="Calibri" w:hAnsi="Calibri"/>
                <w:b/>
                <w:bCs/>
                <w:color w:val="000000"/>
                <w:sz w:val="22"/>
                <w:szCs w:val="22"/>
              </w:rPr>
              <w:t>100</w:t>
            </w:r>
          </w:p>
        </w:tc>
        <w:tc>
          <w:tcPr>
            <w:tcW w:w="960"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b/>
                <w:bCs/>
                <w:color w:val="000000"/>
                <w:sz w:val="22"/>
                <w:szCs w:val="22"/>
              </w:rPr>
            </w:pPr>
            <w:r w:rsidRPr="00A22F8E">
              <w:rPr>
                <w:rFonts w:ascii="Calibri" w:hAnsi="Calibri"/>
                <w:b/>
                <w:bCs/>
                <w:color w:val="000000"/>
                <w:sz w:val="22"/>
                <w:szCs w:val="22"/>
              </w:rPr>
              <w:t>100</w:t>
            </w:r>
          </w:p>
        </w:tc>
      </w:tr>
      <w:tr w:rsidR="00A22F8E" w:rsidRPr="00A22F8E" w:rsidTr="00F86D8B">
        <w:trPr>
          <w:trHeight w:val="288"/>
          <w:jc w:val="center"/>
        </w:trPr>
        <w:tc>
          <w:tcPr>
            <w:tcW w:w="3523" w:type="dxa"/>
            <w:tcBorders>
              <w:top w:val="nil"/>
              <w:left w:val="nil"/>
              <w:bottom w:val="nil"/>
              <w:right w:val="nil"/>
            </w:tcBorders>
            <w:shd w:val="clear" w:color="auto" w:fill="auto"/>
            <w:noWrap/>
            <w:vAlign w:val="bottom"/>
            <w:hideMark/>
          </w:tcPr>
          <w:p w:rsidR="00A22F8E" w:rsidRPr="00A22F8E" w:rsidRDefault="00A22F8E" w:rsidP="00A22F8E">
            <w:pPr>
              <w:spacing w:before="0" w:after="0"/>
              <w:ind w:firstLineChars="100" w:firstLine="220"/>
              <w:jc w:val="left"/>
              <w:rPr>
                <w:rFonts w:ascii="Calibri" w:hAnsi="Calibri"/>
                <w:color w:val="000000"/>
                <w:sz w:val="22"/>
                <w:szCs w:val="22"/>
              </w:rPr>
            </w:pPr>
            <w:r w:rsidRPr="00A22F8E">
              <w:rPr>
                <w:rFonts w:ascii="Calibri" w:hAnsi="Calibri"/>
                <w:color w:val="000000"/>
                <w:sz w:val="22"/>
                <w:szCs w:val="22"/>
              </w:rPr>
              <w:t>Developed countries</w:t>
            </w:r>
          </w:p>
        </w:tc>
        <w:tc>
          <w:tcPr>
            <w:tcW w:w="1041"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$26,730</w:t>
            </w:r>
          </w:p>
        </w:tc>
        <w:tc>
          <w:tcPr>
            <w:tcW w:w="1196"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$237,841</w:t>
            </w:r>
          </w:p>
        </w:tc>
        <w:tc>
          <w:tcPr>
            <w:tcW w:w="960"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68</w:t>
            </w:r>
          </w:p>
        </w:tc>
        <w:tc>
          <w:tcPr>
            <w:tcW w:w="960"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77</w:t>
            </w:r>
          </w:p>
        </w:tc>
      </w:tr>
      <w:tr w:rsidR="00A22F8E" w:rsidRPr="00A22F8E" w:rsidTr="00F86D8B">
        <w:trPr>
          <w:trHeight w:val="288"/>
          <w:jc w:val="center"/>
        </w:trPr>
        <w:tc>
          <w:tcPr>
            <w:tcW w:w="3523" w:type="dxa"/>
            <w:tcBorders>
              <w:top w:val="nil"/>
              <w:left w:val="nil"/>
              <w:bottom w:val="nil"/>
              <w:right w:val="nil"/>
            </w:tcBorders>
            <w:shd w:val="clear" w:color="auto" w:fill="auto"/>
            <w:noWrap/>
            <w:vAlign w:val="bottom"/>
            <w:hideMark/>
          </w:tcPr>
          <w:p w:rsidR="00A22F8E" w:rsidRPr="00A22F8E" w:rsidRDefault="00A22F8E" w:rsidP="00A22F8E">
            <w:pPr>
              <w:spacing w:before="0" w:after="0"/>
              <w:ind w:firstLineChars="200" w:firstLine="440"/>
              <w:jc w:val="left"/>
              <w:rPr>
                <w:rFonts w:ascii="Calibri" w:hAnsi="Calibri"/>
                <w:color w:val="000000"/>
                <w:sz w:val="22"/>
                <w:szCs w:val="22"/>
              </w:rPr>
            </w:pPr>
            <w:r w:rsidRPr="00A22F8E">
              <w:rPr>
                <w:rFonts w:ascii="Calibri" w:hAnsi="Calibri"/>
                <w:color w:val="000000"/>
                <w:sz w:val="22"/>
                <w:szCs w:val="22"/>
              </w:rPr>
              <w:t>European Union</w:t>
            </w:r>
          </w:p>
        </w:tc>
        <w:tc>
          <w:tcPr>
            <w:tcW w:w="1041"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$16,218</w:t>
            </w:r>
          </w:p>
        </w:tc>
        <w:tc>
          <w:tcPr>
            <w:tcW w:w="1196"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$155,972</w:t>
            </w:r>
          </w:p>
        </w:tc>
        <w:tc>
          <w:tcPr>
            <w:tcW w:w="960"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41</w:t>
            </w:r>
          </w:p>
        </w:tc>
        <w:tc>
          <w:tcPr>
            <w:tcW w:w="960"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51</w:t>
            </w:r>
          </w:p>
        </w:tc>
      </w:tr>
      <w:tr w:rsidR="00A22F8E" w:rsidRPr="00A22F8E" w:rsidTr="00F86D8B">
        <w:trPr>
          <w:trHeight w:val="288"/>
          <w:jc w:val="center"/>
        </w:trPr>
        <w:tc>
          <w:tcPr>
            <w:tcW w:w="3523" w:type="dxa"/>
            <w:tcBorders>
              <w:top w:val="nil"/>
              <w:left w:val="nil"/>
              <w:bottom w:val="nil"/>
              <w:right w:val="nil"/>
            </w:tcBorders>
            <w:shd w:val="clear" w:color="auto" w:fill="auto"/>
            <w:noWrap/>
            <w:vAlign w:val="bottom"/>
            <w:hideMark/>
          </w:tcPr>
          <w:p w:rsidR="00A22F8E" w:rsidRPr="00A22F8E" w:rsidRDefault="00A22F8E" w:rsidP="00A22F8E">
            <w:pPr>
              <w:spacing w:before="0" w:after="0"/>
              <w:ind w:firstLineChars="200" w:firstLine="440"/>
              <w:jc w:val="left"/>
              <w:rPr>
                <w:rFonts w:ascii="Calibri" w:hAnsi="Calibri"/>
                <w:color w:val="000000"/>
                <w:sz w:val="22"/>
                <w:szCs w:val="22"/>
              </w:rPr>
            </w:pPr>
            <w:r w:rsidRPr="00A22F8E">
              <w:rPr>
                <w:rFonts w:ascii="Calibri" w:hAnsi="Calibri"/>
                <w:color w:val="000000"/>
                <w:sz w:val="22"/>
                <w:szCs w:val="22"/>
              </w:rPr>
              <w:t>North America</w:t>
            </w:r>
          </w:p>
        </w:tc>
        <w:tc>
          <w:tcPr>
            <w:tcW w:w="1041"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$9,281</w:t>
            </w:r>
          </w:p>
        </w:tc>
        <w:tc>
          <w:tcPr>
            <w:tcW w:w="1196"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$53,412</w:t>
            </w:r>
          </w:p>
        </w:tc>
        <w:tc>
          <w:tcPr>
            <w:tcW w:w="960"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23</w:t>
            </w:r>
          </w:p>
        </w:tc>
        <w:tc>
          <w:tcPr>
            <w:tcW w:w="960"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17</w:t>
            </w:r>
          </w:p>
        </w:tc>
      </w:tr>
      <w:tr w:rsidR="00A22F8E" w:rsidRPr="00A22F8E" w:rsidTr="00F86D8B">
        <w:trPr>
          <w:trHeight w:val="288"/>
          <w:jc w:val="center"/>
        </w:trPr>
        <w:tc>
          <w:tcPr>
            <w:tcW w:w="3523" w:type="dxa"/>
            <w:tcBorders>
              <w:top w:val="nil"/>
              <w:left w:val="nil"/>
              <w:bottom w:val="nil"/>
              <w:right w:val="nil"/>
            </w:tcBorders>
            <w:shd w:val="clear" w:color="auto" w:fill="auto"/>
            <w:noWrap/>
            <w:vAlign w:val="bottom"/>
            <w:hideMark/>
          </w:tcPr>
          <w:p w:rsidR="00A22F8E" w:rsidRPr="00A22F8E" w:rsidRDefault="00A22F8E" w:rsidP="00A22F8E">
            <w:pPr>
              <w:spacing w:before="0" w:after="0"/>
              <w:ind w:firstLineChars="100" w:firstLine="220"/>
              <w:jc w:val="left"/>
              <w:rPr>
                <w:rFonts w:ascii="Calibri" w:hAnsi="Calibri"/>
                <w:color w:val="000000"/>
                <w:sz w:val="22"/>
                <w:szCs w:val="22"/>
              </w:rPr>
            </w:pPr>
            <w:r w:rsidRPr="00A22F8E">
              <w:rPr>
                <w:rFonts w:ascii="Calibri" w:hAnsi="Calibri"/>
                <w:color w:val="000000"/>
                <w:sz w:val="22"/>
                <w:szCs w:val="22"/>
              </w:rPr>
              <w:t>Developing countries</w:t>
            </w:r>
          </w:p>
        </w:tc>
        <w:tc>
          <w:tcPr>
            <w:tcW w:w="1041"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$12,635</w:t>
            </w:r>
          </w:p>
        </w:tc>
        <w:tc>
          <w:tcPr>
            <w:tcW w:w="1196"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$68,890</w:t>
            </w:r>
          </w:p>
        </w:tc>
        <w:tc>
          <w:tcPr>
            <w:tcW w:w="960"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32</w:t>
            </w:r>
          </w:p>
        </w:tc>
        <w:tc>
          <w:tcPr>
            <w:tcW w:w="960"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22</w:t>
            </w:r>
          </w:p>
        </w:tc>
      </w:tr>
      <w:tr w:rsidR="00A22F8E" w:rsidRPr="00A22F8E" w:rsidTr="00F86D8B">
        <w:trPr>
          <w:trHeight w:val="288"/>
          <w:jc w:val="center"/>
        </w:trPr>
        <w:tc>
          <w:tcPr>
            <w:tcW w:w="3523" w:type="dxa"/>
            <w:tcBorders>
              <w:top w:val="nil"/>
              <w:left w:val="nil"/>
              <w:bottom w:val="nil"/>
              <w:right w:val="nil"/>
            </w:tcBorders>
            <w:shd w:val="clear" w:color="auto" w:fill="auto"/>
            <w:noWrap/>
            <w:vAlign w:val="bottom"/>
            <w:hideMark/>
          </w:tcPr>
          <w:p w:rsidR="00A22F8E" w:rsidRPr="00A22F8E" w:rsidRDefault="00A22F8E" w:rsidP="00A22F8E">
            <w:pPr>
              <w:spacing w:before="0" w:after="0"/>
              <w:ind w:firstLineChars="200" w:firstLine="440"/>
              <w:jc w:val="left"/>
              <w:rPr>
                <w:rFonts w:ascii="Calibri" w:hAnsi="Calibri"/>
                <w:color w:val="000000"/>
                <w:sz w:val="22"/>
                <w:szCs w:val="22"/>
              </w:rPr>
            </w:pPr>
            <w:r w:rsidRPr="00A22F8E">
              <w:rPr>
                <w:rFonts w:ascii="Calibri" w:hAnsi="Calibri"/>
                <w:color w:val="000000"/>
                <w:sz w:val="22"/>
                <w:szCs w:val="22"/>
              </w:rPr>
              <w:t>Asia</w:t>
            </w:r>
          </w:p>
        </w:tc>
        <w:tc>
          <w:tcPr>
            <w:tcW w:w="1041"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$9,332</w:t>
            </w:r>
          </w:p>
        </w:tc>
        <w:tc>
          <w:tcPr>
            <w:tcW w:w="1196"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$50,007</w:t>
            </w:r>
          </w:p>
        </w:tc>
        <w:tc>
          <w:tcPr>
            <w:tcW w:w="960"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24</w:t>
            </w:r>
          </w:p>
        </w:tc>
        <w:tc>
          <w:tcPr>
            <w:tcW w:w="960"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16</w:t>
            </w:r>
          </w:p>
        </w:tc>
      </w:tr>
      <w:tr w:rsidR="00A22F8E" w:rsidRPr="00A22F8E" w:rsidTr="00F86D8B">
        <w:trPr>
          <w:trHeight w:val="288"/>
          <w:jc w:val="center"/>
        </w:trPr>
        <w:tc>
          <w:tcPr>
            <w:tcW w:w="3523" w:type="dxa"/>
            <w:tcBorders>
              <w:top w:val="nil"/>
              <w:left w:val="nil"/>
              <w:bottom w:val="nil"/>
              <w:right w:val="nil"/>
            </w:tcBorders>
            <w:shd w:val="clear" w:color="auto" w:fill="auto"/>
            <w:noWrap/>
            <w:vAlign w:val="bottom"/>
            <w:hideMark/>
          </w:tcPr>
          <w:p w:rsidR="00A22F8E" w:rsidRPr="00A22F8E" w:rsidRDefault="00A22F8E" w:rsidP="00A22F8E">
            <w:pPr>
              <w:spacing w:before="0" w:after="0"/>
              <w:ind w:firstLineChars="100" w:firstLine="220"/>
              <w:jc w:val="left"/>
              <w:rPr>
                <w:rFonts w:ascii="Calibri" w:hAnsi="Calibri"/>
                <w:color w:val="000000"/>
                <w:sz w:val="22"/>
                <w:szCs w:val="22"/>
              </w:rPr>
            </w:pPr>
            <w:r w:rsidRPr="00A22F8E">
              <w:rPr>
                <w:rFonts w:ascii="Calibri" w:hAnsi="Calibri"/>
                <w:color w:val="000000"/>
                <w:sz w:val="22"/>
                <w:szCs w:val="22"/>
              </w:rPr>
              <w:t>South-East Europe and CIS</w:t>
            </w:r>
          </w:p>
        </w:tc>
        <w:tc>
          <w:tcPr>
            <w:tcW w:w="1041"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$175</w:t>
            </w:r>
          </w:p>
        </w:tc>
        <w:tc>
          <w:tcPr>
            <w:tcW w:w="1196"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$2,007</w:t>
            </w:r>
          </w:p>
        </w:tc>
        <w:tc>
          <w:tcPr>
            <w:tcW w:w="960"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0</w:t>
            </w:r>
          </w:p>
        </w:tc>
        <w:tc>
          <w:tcPr>
            <w:tcW w:w="960" w:type="dxa"/>
            <w:tcBorders>
              <w:top w:val="nil"/>
              <w:left w:val="nil"/>
              <w:bottom w:val="nil"/>
              <w:right w:val="nil"/>
            </w:tcBorders>
            <w:shd w:val="clear" w:color="auto" w:fill="auto"/>
            <w:noWrap/>
            <w:vAlign w:val="bottom"/>
            <w:hideMark/>
          </w:tcPr>
          <w:p w:rsidR="00A22F8E" w:rsidRPr="00A22F8E" w:rsidRDefault="00A22F8E" w:rsidP="00F86D8B">
            <w:pPr>
              <w:spacing w:before="0" w:after="0"/>
              <w:jc w:val="center"/>
              <w:rPr>
                <w:rFonts w:ascii="Calibri" w:hAnsi="Calibri"/>
                <w:color w:val="000000"/>
                <w:sz w:val="22"/>
                <w:szCs w:val="22"/>
              </w:rPr>
            </w:pPr>
            <w:r w:rsidRPr="00A22F8E">
              <w:rPr>
                <w:rFonts w:ascii="Calibri" w:hAnsi="Calibri"/>
                <w:color w:val="000000"/>
                <w:sz w:val="22"/>
                <w:szCs w:val="22"/>
              </w:rPr>
              <w:t>1</w:t>
            </w:r>
          </w:p>
        </w:tc>
      </w:tr>
      <w:tr w:rsidR="00A22F8E" w:rsidRPr="00A22F8E" w:rsidTr="00F86D8B">
        <w:trPr>
          <w:trHeight w:val="288"/>
          <w:jc w:val="center"/>
        </w:trPr>
        <w:tc>
          <w:tcPr>
            <w:tcW w:w="3523" w:type="dxa"/>
            <w:tcBorders>
              <w:top w:val="single" w:sz="4" w:space="0" w:color="auto"/>
              <w:left w:val="nil"/>
              <w:bottom w:val="single" w:sz="4" w:space="0" w:color="auto"/>
              <w:right w:val="nil"/>
            </w:tcBorders>
            <w:shd w:val="clear" w:color="auto" w:fill="auto"/>
            <w:noWrap/>
            <w:vAlign w:val="bottom"/>
            <w:hideMark/>
          </w:tcPr>
          <w:p w:rsidR="00A22F8E" w:rsidRPr="00A22F8E" w:rsidRDefault="00A22F8E" w:rsidP="00A22F8E">
            <w:pPr>
              <w:spacing w:before="0" w:after="0"/>
              <w:jc w:val="left"/>
              <w:rPr>
                <w:rFonts w:ascii="Calibri" w:hAnsi="Calibri"/>
                <w:b/>
                <w:bCs/>
                <w:color w:val="000000"/>
                <w:sz w:val="22"/>
                <w:szCs w:val="22"/>
              </w:rPr>
            </w:pPr>
            <w:r w:rsidRPr="00A22F8E">
              <w:rPr>
                <w:rFonts w:ascii="Calibri" w:hAnsi="Calibri"/>
                <w:b/>
                <w:bCs/>
                <w:color w:val="000000"/>
                <w:sz w:val="22"/>
                <w:szCs w:val="22"/>
              </w:rPr>
              <w:t>BRICS</w:t>
            </w:r>
          </w:p>
        </w:tc>
        <w:tc>
          <w:tcPr>
            <w:tcW w:w="1041" w:type="dxa"/>
            <w:tcBorders>
              <w:top w:val="single" w:sz="4" w:space="0" w:color="auto"/>
              <w:left w:val="nil"/>
              <w:bottom w:val="single" w:sz="4" w:space="0" w:color="auto"/>
              <w:right w:val="nil"/>
            </w:tcBorders>
            <w:shd w:val="clear" w:color="auto" w:fill="auto"/>
            <w:noWrap/>
            <w:vAlign w:val="bottom"/>
            <w:hideMark/>
          </w:tcPr>
          <w:p w:rsidR="00A22F8E" w:rsidRPr="00A22F8E" w:rsidRDefault="00A22F8E" w:rsidP="00F86D8B">
            <w:pPr>
              <w:spacing w:before="0" w:after="0"/>
              <w:jc w:val="center"/>
              <w:rPr>
                <w:rFonts w:ascii="Calibri" w:hAnsi="Calibri"/>
                <w:b/>
                <w:bCs/>
                <w:color w:val="000000"/>
                <w:sz w:val="22"/>
                <w:szCs w:val="22"/>
              </w:rPr>
            </w:pPr>
            <w:r w:rsidRPr="00A22F8E">
              <w:rPr>
                <w:rFonts w:ascii="Calibri" w:hAnsi="Calibri"/>
                <w:b/>
                <w:bCs/>
                <w:color w:val="000000"/>
                <w:sz w:val="22"/>
                <w:szCs w:val="22"/>
              </w:rPr>
              <w:t>$10,007</w:t>
            </w:r>
          </w:p>
        </w:tc>
        <w:tc>
          <w:tcPr>
            <w:tcW w:w="1196" w:type="dxa"/>
            <w:tcBorders>
              <w:top w:val="single" w:sz="4" w:space="0" w:color="auto"/>
              <w:left w:val="nil"/>
              <w:bottom w:val="single" w:sz="4" w:space="0" w:color="auto"/>
              <w:right w:val="nil"/>
            </w:tcBorders>
            <w:shd w:val="clear" w:color="auto" w:fill="auto"/>
            <w:noWrap/>
            <w:vAlign w:val="bottom"/>
            <w:hideMark/>
          </w:tcPr>
          <w:p w:rsidR="00A22F8E" w:rsidRPr="00A22F8E" w:rsidRDefault="00A22F8E" w:rsidP="00F86D8B">
            <w:pPr>
              <w:spacing w:before="0" w:after="0"/>
              <w:jc w:val="center"/>
              <w:rPr>
                <w:rFonts w:ascii="Calibri" w:hAnsi="Calibri"/>
                <w:b/>
                <w:bCs/>
                <w:color w:val="000000"/>
                <w:sz w:val="22"/>
                <w:szCs w:val="22"/>
              </w:rPr>
            </w:pPr>
            <w:r w:rsidRPr="00A22F8E">
              <w:rPr>
                <w:rFonts w:ascii="Calibri" w:hAnsi="Calibri"/>
                <w:b/>
                <w:bCs/>
                <w:color w:val="000000"/>
                <w:sz w:val="22"/>
                <w:szCs w:val="22"/>
              </w:rPr>
              <w:t>$42,583</w:t>
            </w:r>
          </w:p>
        </w:tc>
        <w:tc>
          <w:tcPr>
            <w:tcW w:w="960" w:type="dxa"/>
            <w:tcBorders>
              <w:top w:val="single" w:sz="4" w:space="0" w:color="auto"/>
              <w:left w:val="nil"/>
              <w:bottom w:val="single" w:sz="4" w:space="0" w:color="auto"/>
              <w:right w:val="nil"/>
            </w:tcBorders>
            <w:shd w:val="clear" w:color="auto" w:fill="auto"/>
            <w:noWrap/>
            <w:vAlign w:val="bottom"/>
            <w:hideMark/>
          </w:tcPr>
          <w:p w:rsidR="00A22F8E" w:rsidRPr="00A22F8E" w:rsidRDefault="00A22F8E" w:rsidP="00F86D8B">
            <w:pPr>
              <w:spacing w:before="0" w:after="0"/>
              <w:jc w:val="center"/>
              <w:rPr>
                <w:rFonts w:ascii="Calibri" w:hAnsi="Calibri"/>
                <w:b/>
                <w:bCs/>
                <w:color w:val="000000"/>
                <w:sz w:val="22"/>
                <w:szCs w:val="22"/>
              </w:rPr>
            </w:pPr>
            <w:r w:rsidRPr="00A22F8E">
              <w:rPr>
                <w:rFonts w:ascii="Calibri" w:hAnsi="Calibri"/>
                <w:b/>
                <w:bCs/>
                <w:color w:val="000000"/>
                <w:sz w:val="22"/>
                <w:szCs w:val="22"/>
              </w:rPr>
              <w:t>25</w:t>
            </w:r>
          </w:p>
        </w:tc>
        <w:tc>
          <w:tcPr>
            <w:tcW w:w="960" w:type="dxa"/>
            <w:tcBorders>
              <w:top w:val="single" w:sz="4" w:space="0" w:color="auto"/>
              <w:left w:val="nil"/>
              <w:bottom w:val="single" w:sz="4" w:space="0" w:color="auto"/>
              <w:right w:val="nil"/>
            </w:tcBorders>
            <w:shd w:val="clear" w:color="auto" w:fill="auto"/>
            <w:noWrap/>
            <w:vAlign w:val="bottom"/>
            <w:hideMark/>
          </w:tcPr>
          <w:p w:rsidR="00A22F8E" w:rsidRPr="00A22F8E" w:rsidRDefault="00A22F8E" w:rsidP="00F86D8B">
            <w:pPr>
              <w:spacing w:before="0" w:after="0"/>
              <w:jc w:val="center"/>
              <w:rPr>
                <w:rFonts w:ascii="Calibri" w:hAnsi="Calibri"/>
                <w:b/>
                <w:bCs/>
                <w:color w:val="000000"/>
                <w:sz w:val="22"/>
                <w:szCs w:val="22"/>
              </w:rPr>
            </w:pPr>
            <w:r w:rsidRPr="00A22F8E">
              <w:rPr>
                <w:rFonts w:ascii="Calibri" w:hAnsi="Calibri"/>
                <w:b/>
                <w:bCs/>
                <w:color w:val="000000"/>
                <w:sz w:val="22"/>
                <w:szCs w:val="22"/>
              </w:rPr>
              <w:t>14</w:t>
            </w:r>
          </w:p>
        </w:tc>
      </w:tr>
      <w:tr w:rsidR="00A22F8E" w:rsidRPr="00A22F8E" w:rsidTr="00F86D8B">
        <w:trPr>
          <w:trHeight w:val="288"/>
          <w:jc w:val="center"/>
        </w:trPr>
        <w:tc>
          <w:tcPr>
            <w:tcW w:w="7680" w:type="dxa"/>
            <w:gridSpan w:val="5"/>
            <w:tcBorders>
              <w:top w:val="nil"/>
              <w:left w:val="nil"/>
              <w:bottom w:val="nil"/>
              <w:right w:val="nil"/>
            </w:tcBorders>
            <w:shd w:val="clear" w:color="auto" w:fill="auto"/>
            <w:noWrap/>
            <w:vAlign w:val="bottom"/>
            <w:hideMark/>
          </w:tcPr>
          <w:p w:rsidR="00A22F8E" w:rsidRPr="00A22F8E" w:rsidRDefault="00A22F8E" w:rsidP="00A22F8E">
            <w:pPr>
              <w:spacing w:before="0" w:after="0"/>
              <w:jc w:val="left"/>
              <w:rPr>
                <w:rFonts w:ascii="Calibri" w:hAnsi="Calibri"/>
                <w:color w:val="000000"/>
                <w:sz w:val="22"/>
                <w:szCs w:val="22"/>
              </w:rPr>
            </w:pPr>
            <w:r w:rsidRPr="00A22F8E">
              <w:rPr>
                <w:rFonts w:ascii="Calibri" w:hAnsi="Calibri"/>
                <w:color w:val="000000"/>
                <w:sz w:val="22"/>
                <w:szCs w:val="22"/>
              </w:rPr>
              <w:t xml:space="preserve">Source: UNCTAD, FDI/TNC database, reproduced from </w:t>
            </w:r>
            <w:r w:rsidR="007811E7" w:rsidRPr="007811E7">
              <w:rPr>
                <w:rFonts w:ascii="Calibri" w:hAnsi="Calibri"/>
                <w:i/>
                <w:color w:val="000000"/>
                <w:sz w:val="22"/>
                <w:szCs w:val="22"/>
              </w:rPr>
              <w:t>Global Investment Trends Monitor, Special Edition,</w:t>
            </w:r>
            <w:r w:rsidR="007811E7" w:rsidRPr="007811E7">
              <w:rPr>
                <w:rFonts w:ascii="Calibri" w:hAnsi="Calibri"/>
                <w:color w:val="000000"/>
                <w:sz w:val="22"/>
                <w:szCs w:val="22"/>
              </w:rPr>
              <w:t xml:space="preserve"> April 2013</w:t>
            </w:r>
          </w:p>
        </w:tc>
      </w:tr>
    </w:tbl>
    <w:p w:rsidR="000A74D7" w:rsidRDefault="00F519CB">
      <w:r>
        <w:lastRenderedPageBreak/>
        <w:t xml:space="preserve">What about trade patterns?  Some of the most important BRICS trading partners </w:t>
      </w:r>
      <w:r w:rsidR="005F66B5">
        <w:t xml:space="preserve">in the developed world </w:t>
      </w:r>
      <w:r w:rsidR="003122CA">
        <w:t>showed slower growth since the 2008 crisis</w:t>
      </w:r>
      <w:r>
        <w:t>,</w:t>
      </w:r>
      <w:r w:rsidR="005F66B5">
        <w:rPr>
          <w:rStyle w:val="af0"/>
        </w:rPr>
        <w:footnoteReference w:id="5"/>
      </w:r>
      <w:r>
        <w:t xml:space="preserve"> which means fewer exports for BRICS and, consequently, less growth, ceteris paribus.  This</w:t>
      </w:r>
      <w:r w:rsidR="003122CA">
        <w:t xml:space="preserve"> trend, if continues,</w:t>
      </w:r>
      <w:r>
        <w:t xml:space="preserve"> may push BRICS to explore developing countries markets </w:t>
      </w:r>
      <w:r w:rsidR="00CF5085">
        <w:t xml:space="preserve">even </w:t>
      </w:r>
      <w:r>
        <w:t>more aggressively.</w:t>
      </w:r>
      <w:r w:rsidR="00937B65">
        <w:rPr>
          <w:rStyle w:val="af0"/>
        </w:rPr>
        <w:footnoteReference w:id="6"/>
      </w:r>
    </w:p>
    <w:p w:rsidR="00BB3998" w:rsidRPr="00937B65" w:rsidRDefault="00BB3998">
      <w:r w:rsidRPr="00937B65">
        <w:t>For BRICS, Africa appears to be a natural ch</w:t>
      </w:r>
      <w:r w:rsidR="00937B65" w:rsidRPr="00937B65">
        <w:t xml:space="preserve">oice for economic cooperation. </w:t>
      </w:r>
      <w:r w:rsidRPr="00937B65">
        <w:rPr>
          <w:lang w:val="en"/>
        </w:rPr>
        <w:t xml:space="preserve"> </w:t>
      </w:r>
      <w:r w:rsidR="003122CA" w:rsidRPr="00937B65">
        <w:rPr>
          <w:lang w:val="en"/>
        </w:rPr>
        <w:t>While</w:t>
      </w:r>
      <w:r w:rsidRPr="00937B65">
        <w:rPr>
          <w:lang w:val="en"/>
        </w:rPr>
        <w:t xml:space="preserve"> BRICS </w:t>
      </w:r>
      <w:r w:rsidR="003122CA" w:rsidRPr="00937B65">
        <w:rPr>
          <w:lang w:val="en"/>
        </w:rPr>
        <w:t xml:space="preserve">have emerged </w:t>
      </w:r>
      <w:r w:rsidRPr="00937B65">
        <w:rPr>
          <w:lang w:val="en"/>
        </w:rPr>
        <w:t>as major global players</w:t>
      </w:r>
      <w:r w:rsidR="00937B65" w:rsidRPr="00937B65">
        <w:rPr>
          <w:lang w:val="en"/>
        </w:rPr>
        <w:t>, Africa has demonstrated economic growth potential, abundant natural resources, favorable demographics, and growing consumer power.</w:t>
      </w:r>
      <w:r w:rsidR="00937B65">
        <w:rPr>
          <w:rStyle w:val="af0"/>
          <w:lang w:val="en"/>
        </w:rPr>
        <w:footnoteReference w:id="7"/>
      </w:r>
    </w:p>
    <w:p w:rsidR="00A5028A" w:rsidRDefault="00A22F8E">
      <w:r>
        <w:rPr>
          <w:lang w:val="en"/>
        </w:rPr>
        <w:t>For instance, trade volume between Ch</w:t>
      </w:r>
      <w:r w:rsidR="00CF5085">
        <w:rPr>
          <w:lang w:val="en"/>
        </w:rPr>
        <w:t>ina and Africa increased from</w:t>
      </w:r>
      <w:r>
        <w:rPr>
          <w:lang w:val="en"/>
        </w:rPr>
        <w:t xml:space="preserve"> $10 billio</w:t>
      </w:r>
      <w:r w:rsidR="00CF5085">
        <w:rPr>
          <w:lang w:val="en"/>
        </w:rPr>
        <w:t>n in 2000 to</w:t>
      </w:r>
      <w:r>
        <w:rPr>
          <w:lang w:val="en"/>
        </w:rPr>
        <w:t xml:space="preserve"> $190 billion </w:t>
      </w:r>
      <w:r w:rsidR="00CF5085">
        <w:rPr>
          <w:lang w:val="en"/>
        </w:rPr>
        <w:t xml:space="preserve">in 2012.  The partnership with India has </w:t>
      </w:r>
      <w:r>
        <w:rPr>
          <w:lang w:val="en"/>
        </w:rPr>
        <w:t xml:space="preserve">promoted the development of small- </w:t>
      </w:r>
      <w:r w:rsidR="00CF5085">
        <w:rPr>
          <w:lang w:val="en"/>
        </w:rPr>
        <w:t>to</w:t>
      </w:r>
      <w:r>
        <w:rPr>
          <w:lang w:val="en"/>
        </w:rPr>
        <w:t xml:space="preserve"> medium-scale enterpris</w:t>
      </w:r>
      <w:r w:rsidR="00CF5085">
        <w:rPr>
          <w:lang w:val="en"/>
        </w:rPr>
        <w:t xml:space="preserve">es on the African continent.  </w:t>
      </w:r>
      <w:r>
        <w:rPr>
          <w:lang w:val="en"/>
        </w:rPr>
        <w:t>Brazil and Russia have been heavily involved in the mining and energy industry in Africa through public-private partnerships.</w:t>
      </w:r>
    </w:p>
    <w:p w:rsidR="00F519CB" w:rsidRDefault="00F519CB">
      <w:r>
        <w:t xml:space="preserve">BRICS’ trade patterns are influenced by a number of international trade agreements, some of which leave BRICS on the side. </w:t>
      </w:r>
      <w:r w:rsidR="007811E7">
        <w:t xml:space="preserve">For example, the US has been advancing a bilateral FTA </w:t>
      </w:r>
      <w:r w:rsidR="007811E7" w:rsidRPr="007811E7">
        <w:t xml:space="preserve">with the EU (through the high-standard Transatlantic Trade and Investment Partnership or TTIP) </w:t>
      </w:r>
      <w:r w:rsidR="007811E7">
        <w:t>is expected to start this year.  Another agreement, known as t</w:t>
      </w:r>
      <w:r w:rsidR="007811E7" w:rsidRPr="0025232D">
        <w:t xml:space="preserve">he Trans-Pacific Partnership (TPP), </w:t>
      </w:r>
      <w:r w:rsidR="007811E7">
        <w:t xml:space="preserve">includes Australia, Brunei, Chile, Malaysia, New Zealand, Peru, Singapore, Vietnam, and the </w:t>
      </w:r>
      <w:r w:rsidR="007811E7" w:rsidRPr="007811E7">
        <w:t xml:space="preserve">US.  These two </w:t>
      </w:r>
      <w:r w:rsidR="00F40E0F" w:rsidRPr="007811E7">
        <w:t>partnerships</w:t>
      </w:r>
      <w:r w:rsidR="007811E7" w:rsidRPr="007811E7">
        <w:t xml:space="preserve"> will likely be significant in shaping the economic climate as its members account for more than half of total global trade and GDP.  </w:t>
      </w:r>
      <w:r w:rsidRPr="007811E7">
        <w:t>As result, BR</w:t>
      </w:r>
      <w:r w:rsidR="00CF5085" w:rsidRPr="007811E7">
        <w:t>ICS may see the benefits from</w:t>
      </w:r>
      <w:r w:rsidRPr="007811E7">
        <w:t xml:space="preserve"> trade agreements within the block and with developing countries’ rise </w:t>
      </w:r>
      <w:r w:rsidR="00CF5085">
        <w:t>significantly.  Certain steps have already been taken.  For example, a New Development Bank is planned to offset the influence of the IMF and the World Bank.</w:t>
      </w:r>
      <w:r w:rsidR="00CF5085">
        <w:rPr>
          <w:rStyle w:val="af0"/>
        </w:rPr>
        <w:footnoteReference w:id="8"/>
      </w:r>
      <w:r w:rsidR="00CF5085">
        <w:t xml:space="preserve">  </w:t>
      </w:r>
    </w:p>
    <w:p w:rsidR="00F519CB" w:rsidRDefault="007811E7">
      <w:r>
        <w:t>Table 3.  Major trading partners in BRICS by country</w:t>
      </w:r>
    </w:p>
    <w:p w:rsidR="007811E7" w:rsidRDefault="007811E7"/>
    <w:p w:rsidR="007811E7" w:rsidRDefault="007811E7">
      <w:r>
        <w:t>Table 4.  Trade between US and BRICS by country</w:t>
      </w:r>
    </w:p>
    <w:p w:rsidR="004B205E" w:rsidRDefault="004B205E"/>
    <w:p w:rsidR="00867BE0" w:rsidRDefault="007811E7">
      <w:r>
        <w:t>In the end, if BRICS succeed in strengthening their economic relationship with the developing nations, it is likely to be a win-win game in the south-south cooperation.</w:t>
      </w:r>
    </w:p>
    <w:p w:rsidR="00043882" w:rsidRDefault="00043882">
      <w:pPr>
        <w:rPr>
          <w:rFonts w:ascii="Georgia" w:hAnsi="Georgia"/>
          <w:color w:val="000000"/>
          <w:sz w:val="23"/>
          <w:szCs w:val="23"/>
          <w:lang w:val="en"/>
        </w:rPr>
      </w:pPr>
    </w:p>
    <w:p w:rsidR="00043882" w:rsidRDefault="00043882">
      <w:pPr>
        <w:spacing w:before="0" w:after="0"/>
        <w:jc w:val="left"/>
        <w:rPr>
          <w:rFonts w:ascii="Georgia" w:hAnsi="Georgia"/>
          <w:color w:val="000000"/>
          <w:sz w:val="23"/>
          <w:szCs w:val="23"/>
          <w:lang w:val="en"/>
        </w:rPr>
      </w:pPr>
    </w:p>
    <w:sectPr w:rsidR="0004388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CA8" w:rsidRDefault="00987CA8" w:rsidP="00043882">
      <w:pPr>
        <w:spacing w:before="0" w:after="0"/>
      </w:pPr>
      <w:r>
        <w:separator/>
      </w:r>
    </w:p>
  </w:endnote>
  <w:endnote w:type="continuationSeparator" w:id="0">
    <w:p w:rsidR="00987CA8" w:rsidRDefault="00987CA8" w:rsidP="000438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570517"/>
      <w:docPartObj>
        <w:docPartGallery w:val="Page Numbers (Bottom of Page)"/>
        <w:docPartUnique/>
      </w:docPartObj>
    </w:sdtPr>
    <w:sdtEndPr>
      <w:rPr>
        <w:noProof/>
      </w:rPr>
    </w:sdtEndPr>
    <w:sdtContent>
      <w:p w:rsidR="00F86D8B" w:rsidRDefault="00F86D8B">
        <w:pPr>
          <w:pStyle w:val="ac"/>
          <w:jc w:val="right"/>
        </w:pPr>
        <w:r>
          <w:fldChar w:fldCharType="begin"/>
        </w:r>
        <w:r>
          <w:instrText xml:space="preserve"> PAGE   \* MERGEFORMAT </w:instrText>
        </w:r>
        <w:r>
          <w:fldChar w:fldCharType="separate"/>
        </w:r>
        <w:r w:rsidR="0090227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CA8" w:rsidRDefault="00987CA8" w:rsidP="00043882">
      <w:pPr>
        <w:spacing w:before="0" w:after="0"/>
      </w:pPr>
      <w:r>
        <w:separator/>
      </w:r>
    </w:p>
  </w:footnote>
  <w:footnote w:type="continuationSeparator" w:id="0">
    <w:p w:rsidR="00987CA8" w:rsidRDefault="00987CA8" w:rsidP="00043882">
      <w:pPr>
        <w:spacing w:before="0" w:after="0"/>
      </w:pPr>
      <w:r>
        <w:continuationSeparator/>
      </w:r>
    </w:p>
  </w:footnote>
  <w:footnote w:id="1">
    <w:p w:rsidR="00F86D8B" w:rsidRDefault="00F86D8B">
      <w:pPr>
        <w:pStyle w:val="ae"/>
      </w:pPr>
      <w:r>
        <w:rPr>
          <w:rStyle w:val="af0"/>
        </w:rPr>
        <w:footnoteRef/>
      </w:r>
      <w:r>
        <w:t xml:space="preserve"> UNCTAD, </w:t>
      </w:r>
      <w:r>
        <w:rPr>
          <w:i/>
          <w:sz w:val="22"/>
        </w:rPr>
        <w:t>Global Investment Trends Monitor, Special Edition, April 2013</w:t>
      </w:r>
    </w:p>
  </w:footnote>
  <w:footnote w:id="2">
    <w:p w:rsidR="00F86D8B" w:rsidRDefault="00F86D8B">
      <w:pPr>
        <w:pStyle w:val="ae"/>
      </w:pPr>
      <w:r>
        <w:rPr>
          <w:rStyle w:val="af0"/>
        </w:rPr>
        <w:footnoteRef/>
      </w:r>
      <w:r>
        <w:t xml:space="preserve"> This may be interpreted as a positive trend in the economic development.  However, there could be different reasons for this trend, not all of them signifying the steady increase of standards of living for an average Chinese or Russian citizen.  </w:t>
      </w:r>
      <w:proofErr w:type="spellStart"/>
      <w:r>
        <w:t>Gini</w:t>
      </w:r>
      <w:proofErr w:type="spellEnd"/>
      <w:r>
        <w:t xml:space="preserve"> index, where </w:t>
      </w:r>
      <w:r>
        <w:rPr>
          <w:rStyle w:val="field-content"/>
          <w:lang w:val="en"/>
        </w:rPr>
        <w:t>index of 0 represents perfect equality, while an index of 100 implies perfect inequality are for</w:t>
      </w:r>
      <w:r>
        <w:t xml:space="preserve"> Brazil – 54.7 (2009), China – 42.1 (2009), India – 33.9 (2010), Russia – 40.1 (2009), South Africa – 63.9 (2009), </w:t>
      </w:r>
      <w:r w:rsidRPr="00106A41">
        <w:rPr>
          <w:i/>
        </w:rPr>
        <w:t>World Bank</w:t>
      </w:r>
      <w:r>
        <w:t>.</w:t>
      </w:r>
    </w:p>
  </w:footnote>
  <w:footnote w:id="3">
    <w:p w:rsidR="00696B64" w:rsidRDefault="00696B64" w:rsidP="00696B64">
      <w:pPr>
        <w:pStyle w:val="ae"/>
      </w:pPr>
      <w:r>
        <w:rPr>
          <w:rStyle w:val="af0"/>
        </w:rPr>
        <w:footnoteRef/>
      </w:r>
      <w:r>
        <w:t xml:space="preserve"> “</w:t>
      </w:r>
      <w:r w:rsidRPr="00A941E5">
        <w:t>FDI stock to other BRICS account for only 3.2% of Indian outward stock, 2.2% of Chinese stock, 0.3% of Russia</w:t>
      </w:r>
      <w:r>
        <w:t xml:space="preserve">n and Brazilian outward stocks,” </w:t>
      </w:r>
      <w:r w:rsidRPr="00A941E5">
        <w:rPr>
          <w:i/>
        </w:rPr>
        <w:t>UNCTAD,</w:t>
      </w:r>
      <w:r>
        <w:t xml:space="preserve"> </w:t>
      </w:r>
      <w:r>
        <w:rPr>
          <w:i/>
          <w:sz w:val="22"/>
        </w:rPr>
        <w:t>Global Investment Trends Monitor, Special Edition, April 2013</w:t>
      </w:r>
    </w:p>
  </w:footnote>
  <w:footnote w:id="4">
    <w:p w:rsidR="005F66B5" w:rsidRDefault="005F66B5" w:rsidP="005F66B5">
      <w:pPr>
        <w:pStyle w:val="ae"/>
      </w:pPr>
      <w:r>
        <w:rPr>
          <w:rStyle w:val="af0"/>
        </w:rPr>
        <w:footnoteRef/>
      </w:r>
      <w:r>
        <w:t xml:space="preserve"> UNCTAD, </w:t>
      </w:r>
      <w:r>
        <w:rPr>
          <w:i/>
          <w:sz w:val="22"/>
        </w:rPr>
        <w:t>Global Investment Trends Monitor, Special Edition, April 2013</w:t>
      </w:r>
    </w:p>
  </w:footnote>
  <w:footnote w:id="5">
    <w:p w:rsidR="005F66B5" w:rsidRDefault="005F66B5">
      <w:pPr>
        <w:pStyle w:val="ae"/>
      </w:pPr>
      <w:r>
        <w:rPr>
          <w:rStyle w:val="af0"/>
        </w:rPr>
        <w:footnoteRef/>
      </w:r>
      <w:r>
        <w:t xml:space="preserve"> Latin America and the Caribbean have also shown slower growth and less appetite for imports, as they are a regional recipient of the sluggish US recovery.</w:t>
      </w:r>
    </w:p>
  </w:footnote>
  <w:footnote w:id="6">
    <w:p w:rsidR="00937B65" w:rsidRDefault="00937B65">
      <w:pPr>
        <w:pStyle w:val="ae"/>
      </w:pPr>
      <w:r>
        <w:rPr>
          <w:rStyle w:val="af0"/>
        </w:rPr>
        <w:footnoteRef/>
      </w:r>
      <w:r>
        <w:t xml:space="preserve"> </w:t>
      </w:r>
      <w:r w:rsidRPr="00937B65">
        <w:t>However, this exploration may have to be on more favorable terms to developing countries, as some raise concerns.  For example, Africa supplies raw materials, other products and technology transfer to China, but its economic experience with Europe dictates caution and makes this trade pattern unsustainable on the long run.</w:t>
      </w:r>
    </w:p>
  </w:footnote>
  <w:footnote w:id="7">
    <w:p w:rsidR="00937B65" w:rsidRDefault="00937B65">
      <w:pPr>
        <w:pStyle w:val="ae"/>
      </w:pPr>
      <w:r>
        <w:rPr>
          <w:rStyle w:val="af0"/>
        </w:rPr>
        <w:footnoteRef/>
      </w:r>
      <w:r>
        <w:t xml:space="preserve"> African Development Bank, Blogs, </w:t>
      </w:r>
      <w:r w:rsidRPr="00937B65">
        <w:t>http://www.afdb.org/en/blogs/afdb-championing-inclusive-growth-across-africa/post/africa-and-the-brics-a-win-win-partnership-12098/</w:t>
      </w:r>
      <w:r>
        <w:t>.</w:t>
      </w:r>
    </w:p>
  </w:footnote>
  <w:footnote w:id="8">
    <w:p w:rsidR="00CF5085" w:rsidRDefault="00CF5085">
      <w:pPr>
        <w:pStyle w:val="ae"/>
      </w:pPr>
      <w:r>
        <w:rPr>
          <w:rStyle w:val="af0"/>
        </w:rPr>
        <w:footnoteRef/>
      </w:r>
      <w:r>
        <w:t xml:space="preserve"> Although it is commendable effort, it may not be realistic in the current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8B" w:rsidRPr="00043882" w:rsidRDefault="00F86D8B" w:rsidP="00043882">
    <w:pPr>
      <w:pStyle w:val="aa"/>
      <w:jc w:val="right"/>
    </w:pPr>
    <w:r w:rsidRPr="00043882">
      <w:t>April 25,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0490"/>
    <w:multiLevelType w:val="multilevel"/>
    <w:tmpl w:val="DF1E1298"/>
    <w:lvl w:ilvl="0">
      <w:start w:val="1"/>
      <w:numFmt w:val="decimal"/>
      <w:pStyle w:val="1"/>
      <w:lvlText w:val="%1"/>
      <w:lvlJc w:val="left"/>
      <w:pPr>
        <w:ind w:left="360" w:hanging="360"/>
      </w:pPr>
      <w:rPr>
        <w:rFonts w:hint="default"/>
        <w:b/>
        <w:i w:val="0"/>
        <w:sz w:val="28"/>
      </w:rPr>
    </w:lvl>
    <w:lvl w:ilvl="1">
      <w:start w:val="1"/>
      <w:numFmt w:val="decimal"/>
      <w:pStyle w:val="2"/>
      <w:lvlText w:val="%1.%2"/>
      <w:lvlJc w:val="left"/>
      <w:pPr>
        <w:tabs>
          <w:tab w:val="num" w:pos="576"/>
        </w:tabs>
        <w:ind w:left="576" w:hanging="576"/>
      </w:pPr>
      <w:rPr>
        <w:rFonts w:ascii="Times New Roman" w:hAnsi="Times New Roman" w:hint="default"/>
        <w:b/>
        <w:i w:val="0"/>
        <w:color w:val="auto"/>
        <w:sz w:val="24"/>
        <w:u w:val="none"/>
      </w:rPr>
    </w:lvl>
    <w:lvl w:ilvl="2">
      <w:start w:val="1"/>
      <w:numFmt w:val="decimal"/>
      <w:pStyle w:val="3"/>
      <w:lvlText w:val="%1.%2.%3"/>
      <w:lvlJc w:val="left"/>
      <w:pPr>
        <w:tabs>
          <w:tab w:val="num" w:pos="720"/>
        </w:tabs>
        <w:ind w:left="720" w:hanging="720"/>
      </w:pPr>
      <w:rPr>
        <w:rFonts w:ascii="Times New Roman" w:hAnsi="Times New Roman" w:hint="default"/>
        <w:b/>
        <w:i w:val="0"/>
        <w:color w:val="auto"/>
        <w:sz w:val="24"/>
        <w:u w:val="none"/>
      </w:rPr>
    </w:lvl>
    <w:lvl w:ilvl="3">
      <w:start w:val="1"/>
      <w:numFmt w:val="decimal"/>
      <w:pStyle w:val="4"/>
      <w:lvlText w:val="%1.%2.%3.%4"/>
      <w:lvlJc w:val="left"/>
      <w:pPr>
        <w:tabs>
          <w:tab w:val="num" w:pos="864"/>
        </w:tabs>
        <w:ind w:left="864" w:hanging="864"/>
      </w:pPr>
      <w:rPr>
        <w:rFonts w:ascii="Times New Roman" w:hAnsi="Times New Roman" w:hint="default"/>
        <w:b w:val="0"/>
        <w:i/>
        <w:color w:val="auto"/>
        <w:sz w:val="24"/>
        <w:u w:val="none"/>
      </w:rPr>
    </w:lvl>
    <w:lvl w:ilvl="4">
      <w:start w:val="1"/>
      <w:numFmt w:val="decimal"/>
      <w:pStyle w:val="5"/>
      <w:lvlText w:val="%1.%2.%3.%4.%5"/>
      <w:lvlJc w:val="left"/>
      <w:pPr>
        <w:tabs>
          <w:tab w:val="num" w:pos="1818"/>
        </w:tabs>
        <w:ind w:left="1818" w:hanging="1008"/>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3FDF074F"/>
    <w:multiLevelType w:val="multilevel"/>
    <w:tmpl w:val="CEEE3D1A"/>
    <w:lvl w:ilvl="0">
      <w:start w:val="1"/>
      <w:numFmt w:val="upperLetter"/>
      <w:lvlText w:val="APPENDIX %1"/>
      <w:lvlJc w:val="left"/>
      <w:pPr>
        <w:ind w:left="360" w:hanging="360"/>
      </w:pPr>
      <w:rPr>
        <w:rFonts w:hint="default"/>
        <w:b/>
        <w:i w:val="0"/>
        <w:sz w:val="28"/>
      </w:rPr>
    </w:lvl>
    <w:lvl w:ilvl="1">
      <w:start w:val="1"/>
      <w:numFmt w:val="decimal"/>
      <w:lvlText w:val="%1.%2"/>
      <w:lvlJc w:val="left"/>
      <w:pPr>
        <w:tabs>
          <w:tab w:val="num" w:pos="576"/>
        </w:tabs>
        <w:ind w:left="576" w:hanging="576"/>
      </w:pPr>
      <w:rPr>
        <w:rFonts w:ascii="Times New Roman" w:hAnsi="Times New Roman" w:hint="default"/>
        <w:b/>
        <w:i w:val="0"/>
        <w:color w:val="auto"/>
        <w:sz w:val="24"/>
        <w:u w:val="none"/>
      </w:rPr>
    </w:lvl>
    <w:lvl w:ilvl="2">
      <w:start w:val="1"/>
      <w:numFmt w:val="decimal"/>
      <w:lvlText w:val="%1.%2.%3"/>
      <w:lvlJc w:val="left"/>
      <w:pPr>
        <w:tabs>
          <w:tab w:val="num" w:pos="720"/>
        </w:tabs>
        <w:ind w:left="720" w:hanging="720"/>
      </w:pPr>
      <w:rPr>
        <w:rFonts w:ascii="Times New Roman" w:hAnsi="Times New Roman" w:hint="default"/>
        <w:b/>
        <w:i w:val="0"/>
        <w:color w:val="auto"/>
        <w:sz w:val="24"/>
        <w:u w:val="none"/>
      </w:rPr>
    </w:lvl>
    <w:lvl w:ilvl="3">
      <w:start w:val="1"/>
      <w:numFmt w:val="decimal"/>
      <w:lvlText w:val="%1.%2.%3.%4"/>
      <w:lvlJc w:val="left"/>
      <w:pPr>
        <w:tabs>
          <w:tab w:val="num" w:pos="864"/>
        </w:tabs>
        <w:ind w:left="864" w:hanging="864"/>
      </w:pPr>
      <w:rPr>
        <w:rFonts w:ascii="Times New Roman" w:hAnsi="Times New Roman" w:hint="default"/>
        <w:b/>
        <w:i w:val="0"/>
        <w:color w:val="auto"/>
        <w:sz w:val="24"/>
        <w:u w:val="none"/>
      </w:rPr>
    </w:lvl>
    <w:lvl w:ilvl="4">
      <w:start w:val="1"/>
      <w:numFmt w:val="decimal"/>
      <w:lvlText w:val="%1.%2.%3.%4.%5"/>
      <w:lvlJc w:val="left"/>
      <w:pPr>
        <w:tabs>
          <w:tab w:val="num" w:pos="1818"/>
        </w:tabs>
        <w:ind w:left="1818" w:hanging="1008"/>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PPENDIX %9"/>
      <w:lvlJc w:val="left"/>
      <w:pPr>
        <w:tabs>
          <w:tab w:val="num" w:pos="1584"/>
        </w:tabs>
        <w:ind w:left="1584" w:hanging="158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78802337"/>
    <w:multiLevelType w:val="multilevel"/>
    <w:tmpl w:val="069A7AF0"/>
    <w:lvl w:ilvl="0">
      <w:start w:val="1"/>
      <w:numFmt w:val="upperLetter"/>
      <w:lvlText w:val="Appendix %1"/>
      <w:lvlJc w:val="left"/>
      <w:pPr>
        <w:ind w:left="360" w:hanging="360"/>
      </w:pPr>
      <w:rPr>
        <w:rFonts w:ascii="Times New Roman Bold" w:hint="cs"/>
        <w:b/>
        <w:i w:val="0"/>
        <w:caps/>
        <w:sz w:val="24"/>
        <w:u w:val="thick"/>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lvlOverride w:ilvl="0">
      <w:lvl w:ilvl="0">
        <w:start w:val="1"/>
        <w:numFmt w:val="upperLetter"/>
        <w:lvlText w:val="Appendix %1"/>
        <w:lvlJc w:val="left"/>
        <w:pPr>
          <w:ind w:left="630" w:hanging="360"/>
        </w:pPr>
        <w:rPr>
          <w:rFonts w:ascii="Times New Roman Bold" w:hint="cs"/>
          <w:b/>
          <w:i w:val="0"/>
          <w:caps/>
          <w:sz w:val="28"/>
          <w:u w:val="none"/>
        </w:rPr>
      </w:lvl>
    </w:lvlOverride>
  </w:num>
  <w:num w:numId="2">
    <w:abstractNumId w:val="0"/>
  </w:num>
  <w:num w:numId="3">
    <w:abstractNumId w:val="0"/>
  </w:num>
  <w:num w:numId="4">
    <w:abstractNumId w:val="0"/>
  </w:num>
  <w:num w:numId="5">
    <w:abstractNumId w:val="0"/>
  </w:num>
  <w:num w:numId="6">
    <w:abstractNumId w:val="0"/>
  </w:num>
  <w:num w:numId="7">
    <w:abstractNumId w:val="0"/>
  </w:num>
  <w:num w:numId="8">
    <w:abstractNumId w:val="1"/>
  </w:num>
  <w:num w:numId="9">
    <w:abstractNumId w:val="2"/>
    <w:lvlOverride w:ilvl="0">
      <w:lvl w:ilvl="0">
        <w:start w:val="1"/>
        <w:numFmt w:val="upperLetter"/>
        <w:lvlText w:val="Appendix %1"/>
        <w:lvlJc w:val="left"/>
        <w:pPr>
          <w:ind w:left="630" w:hanging="360"/>
        </w:pPr>
        <w:rPr>
          <w:rFonts w:ascii="Times New Roman Bold" w:hint="cs"/>
          <w:b/>
          <w:i w:val="0"/>
          <w:caps/>
          <w:sz w:val="28"/>
          <w:u w:val="none"/>
        </w:rPr>
      </w:lvl>
    </w:lvlOverride>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2"/>
    <w:lvlOverride w:ilvl="0">
      <w:lvl w:ilvl="0">
        <w:start w:val="1"/>
        <w:numFmt w:val="upperLetter"/>
        <w:lvlText w:val="Appendix %1"/>
        <w:lvlJc w:val="left"/>
        <w:pPr>
          <w:ind w:left="630" w:hanging="360"/>
        </w:pPr>
        <w:rPr>
          <w:rFonts w:ascii="Times New Roman Bold" w:hint="cs"/>
          <w:b/>
          <w:i w:val="0"/>
          <w:caps/>
          <w:sz w:val="28"/>
          <w:u w:val="none"/>
        </w:rPr>
      </w:lvl>
    </w:lvlOverride>
  </w:num>
  <w:num w:numId="18">
    <w:abstractNumId w:val="0"/>
  </w:num>
  <w:num w:numId="19">
    <w:abstractNumId w:val="0"/>
  </w:num>
  <w:num w:numId="20">
    <w:abstractNumId w:val="0"/>
  </w:num>
  <w:num w:numId="21">
    <w:abstractNumId w:val="0"/>
  </w:num>
  <w:num w:numId="22">
    <w:abstractNumId w:val="0"/>
  </w:num>
  <w:num w:numId="23">
    <w:abstractNumId w:val="0"/>
  </w:num>
  <w:num w:numId="24">
    <w:abstractNumId w:val="1"/>
  </w:num>
  <w:num w:numId="25">
    <w:abstractNumId w:val="2"/>
    <w:lvlOverride w:ilvl="0">
      <w:lvl w:ilvl="0">
        <w:start w:val="1"/>
        <w:numFmt w:val="upperLetter"/>
        <w:lvlText w:val="Appendix %1"/>
        <w:lvlJc w:val="left"/>
        <w:pPr>
          <w:ind w:left="630" w:hanging="360"/>
        </w:pPr>
        <w:rPr>
          <w:rFonts w:ascii="Times New Roman Bold" w:hint="cs"/>
          <w:b/>
          <w:i w:val="0"/>
          <w:caps/>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05E"/>
    <w:rsid w:val="00043882"/>
    <w:rsid w:val="000A74D7"/>
    <w:rsid w:val="00106A41"/>
    <w:rsid w:val="00116772"/>
    <w:rsid w:val="00205179"/>
    <w:rsid w:val="0025232D"/>
    <w:rsid w:val="003122CA"/>
    <w:rsid w:val="003E4B55"/>
    <w:rsid w:val="00433BB2"/>
    <w:rsid w:val="004B205E"/>
    <w:rsid w:val="004E0FFE"/>
    <w:rsid w:val="0051208E"/>
    <w:rsid w:val="005C6455"/>
    <w:rsid w:val="005F66B5"/>
    <w:rsid w:val="006212FD"/>
    <w:rsid w:val="00696B64"/>
    <w:rsid w:val="006C29FA"/>
    <w:rsid w:val="007811E7"/>
    <w:rsid w:val="007A2A50"/>
    <w:rsid w:val="008229E2"/>
    <w:rsid w:val="00867BE0"/>
    <w:rsid w:val="0090227F"/>
    <w:rsid w:val="00937B65"/>
    <w:rsid w:val="00944453"/>
    <w:rsid w:val="00987CA8"/>
    <w:rsid w:val="009A71D1"/>
    <w:rsid w:val="009C51F7"/>
    <w:rsid w:val="009F2CDB"/>
    <w:rsid w:val="00A20430"/>
    <w:rsid w:val="00A22F8E"/>
    <w:rsid w:val="00A5028A"/>
    <w:rsid w:val="00A941E5"/>
    <w:rsid w:val="00AB78C7"/>
    <w:rsid w:val="00AF6286"/>
    <w:rsid w:val="00B4504F"/>
    <w:rsid w:val="00B66F4D"/>
    <w:rsid w:val="00BB3998"/>
    <w:rsid w:val="00C1501A"/>
    <w:rsid w:val="00C95134"/>
    <w:rsid w:val="00CB36C9"/>
    <w:rsid w:val="00CF5085"/>
    <w:rsid w:val="00D7395E"/>
    <w:rsid w:val="00E13FC4"/>
    <w:rsid w:val="00E31647"/>
    <w:rsid w:val="00E3518C"/>
    <w:rsid w:val="00E423A5"/>
    <w:rsid w:val="00EA62D9"/>
    <w:rsid w:val="00F40E0F"/>
    <w:rsid w:val="00F519CB"/>
    <w:rsid w:val="00F86D8B"/>
    <w:rsid w:val="00FC58E1"/>
    <w:rsid w:val="00FD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C6455"/>
    <w:pPr>
      <w:spacing w:before="120" w:after="120"/>
      <w:jc w:val="both"/>
    </w:pPr>
    <w:rPr>
      <w:sz w:val="24"/>
    </w:rPr>
  </w:style>
  <w:style w:type="paragraph" w:styleId="1">
    <w:name w:val="heading 1"/>
    <w:basedOn w:val="a"/>
    <w:next w:val="a"/>
    <w:link w:val="10"/>
    <w:qFormat/>
    <w:rsid w:val="005C6455"/>
    <w:pPr>
      <w:keepNext/>
      <w:numPr>
        <w:numId w:val="23"/>
      </w:numPr>
      <w:outlineLvl w:val="0"/>
    </w:pPr>
    <w:rPr>
      <w:rFonts w:eastAsiaTheme="majorEastAsia" w:cstheme="majorBidi"/>
      <w:b/>
      <w:caps/>
      <w:kern w:val="28"/>
      <w:sz w:val="28"/>
    </w:rPr>
  </w:style>
  <w:style w:type="paragraph" w:styleId="2">
    <w:name w:val="heading 2"/>
    <w:basedOn w:val="a"/>
    <w:next w:val="a"/>
    <w:link w:val="20"/>
    <w:qFormat/>
    <w:rsid w:val="005C6455"/>
    <w:pPr>
      <w:keepNext/>
      <w:numPr>
        <w:ilvl w:val="1"/>
        <w:numId w:val="23"/>
      </w:numPr>
      <w:outlineLvl w:val="1"/>
    </w:pPr>
    <w:rPr>
      <w:rFonts w:ascii="Times New Roman Bold"/>
      <w:b/>
      <w:caps/>
      <w:sz w:val="22"/>
    </w:rPr>
  </w:style>
  <w:style w:type="paragraph" w:styleId="3">
    <w:name w:val="heading 3"/>
    <w:basedOn w:val="2"/>
    <w:next w:val="a"/>
    <w:link w:val="30"/>
    <w:autoRedefine/>
    <w:qFormat/>
    <w:rsid w:val="005C6455"/>
    <w:pPr>
      <w:numPr>
        <w:ilvl w:val="2"/>
      </w:numPr>
      <w:outlineLvl w:val="2"/>
    </w:pPr>
    <w:rPr>
      <w:rFonts w:hAnsi="Times New Roman Bold"/>
      <w:b w:val="0"/>
      <w:caps w:val="0"/>
      <w:sz w:val="24"/>
    </w:rPr>
  </w:style>
  <w:style w:type="paragraph" w:styleId="4">
    <w:name w:val="heading 4"/>
    <w:basedOn w:val="a"/>
    <w:next w:val="a"/>
    <w:link w:val="40"/>
    <w:qFormat/>
    <w:rsid w:val="005C6455"/>
    <w:pPr>
      <w:keepNext/>
      <w:numPr>
        <w:ilvl w:val="3"/>
        <w:numId w:val="23"/>
      </w:numPr>
      <w:outlineLvl w:val="3"/>
    </w:pPr>
    <w:rPr>
      <w:bCs/>
      <w:i/>
      <w:szCs w:val="28"/>
    </w:rPr>
  </w:style>
  <w:style w:type="paragraph" w:styleId="5">
    <w:name w:val="heading 5"/>
    <w:basedOn w:val="4"/>
    <w:next w:val="a"/>
    <w:link w:val="50"/>
    <w:qFormat/>
    <w:rsid w:val="005C6455"/>
    <w:pPr>
      <w:numPr>
        <w:ilvl w:val="4"/>
      </w:numPr>
      <w:outlineLvl w:val="4"/>
    </w:pPr>
    <w:rPr>
      <w:b/>
      <w:i w:val="0"/>
      <w:u w:val="single"/>
    </w:rPr>
  </w:style>
  <w:style w:type="paragraph" w:styleId="6">
    <w:name w:val="heading 6"/>
    <w:basedOn w:val="a"/>
    <w:next w:val="a"/>
    <w:link w:val="60"/>
    <w:qFormat/>
    <w:rsid w:val="005C6455"/>
    <w:pPr>
      <w:keepNext/>
      <w:tabs>
        <w:tab w:val="num" w:pos="1152"/>
      </w:tabs>
      <w:ind w:left="1152" w:hanging="1152"/>
      <w:outlineLvl w:val="5"/>
    </w:pPr>
    <w:rPr>
      <w:b/>
      <w:u w:val="single"/>
    </w:rPr>
  </w:style>
  <w:style w:type="paragraph" w:styleId="7">
    <w:name w:val="heading 7"/>
    <w:basedOn w:val="a"/>
    <w:next w:val="a"/>
    <w:link w:val="70"/>
    <w:qFormat/>
    <w:rsid w:val="005C6455"/>
    <w:pPr>
      <w:keepNext/>
      <w:pBdr>
        <w:bottom w:val="single" w:sz="12" w:space="1" w:color="auto"/>
      </w:pBdr>
      <w:jc w:val="center"/>
      <w:outlineLvl w:val="6"/>
    </w:pPr>
    <w:rPr>
      <w:b/>
      <w:bCs/>
    </w:rPr>
  </w:style>
  <w:style w:type="paragraph" w:styleId="8">
    <w:name w:val="heading 8"/>
    <w:basedOn w:val="a"/>
    <w:next w:val="a"/>
    <w:link w:val="80"/>
    <w:qFormat/>
    <w:rsid w:val="005C6455"/>
    <w:pPr>
      <w:keepNext/>
      <w:pBdr>
        <w:top w:val="double" w:sz="4" w:space="1" w:color="auto"/>
        <w:left w:val="double" w:sz="4" w:space="4" w:color="auto"/>
        <w:bottom w:val="double" w:sz="4" w:space="1" w:color="auto"/>
        <w:right w:val="double" w:sz="4" w:space="4" w:color="auto"/>
      </w:pBdr>
      <w:jc w:val="center"/>
      <w:outlineLvl w:val="7"/>
    </w:pPr>
    <w:rPr>
      <w:b/>
      <w:bCs/>
      <w:sz w:val="20"/>
    </w:rPr>
  </w:style>
  <w:style w:type="paragraph" w:styleId="9">
    <w:name w:val="heading 9"/>
    <w:next w:val="a"/>
    <w:link w:val="90"/>
    <w:qFormat/>
    <w:rsid w:val="005C6455"/>
    <w:pPr>
      <w:tabs>
        <w:tab w:val="num" w:pos="1584"/>
      </w:tabs>
      <w:ind w:left="1584" w:hanging="1584"/>
      <w:jc w:val="center"/>
      <w:outlineLvl w:val="8"/>
    </w:pPr>
    <w:rPr>
      <w:b/>
      <w:bCs/>
      <w:caps/>
      <w:kern w:val="28"/>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APPENDIX">
    <w:name w:val="Heading APPENDIX"/>
    <w:basedOn w:val="1"/>
    <w:next w:val="a3"/>
    <w:link w:val="HeadingAPPENDIXChar"/>
    <w:autoRedefine/>
    <w:qFormat/>
    <w:rsid w:val="005C6455"/>
    <w:pPr>
      <w:keepLines/>
      <w:numPr>
        <w:numId w:val="0"/>
      </w:numPr>
      <w:ind w:left="360" w:hanging="360"/>
      <w:contextualSpacing/>
      <w:jc w:val="left"/>
    </w:pPr>
    <w:rPr>
      <w:rFonts w:ascii="Times New Roman Bold" w:hAnsi="Times New Roman Bold"/>
      <w:bCs/>
      <w:szCs w:val="28"/>
    </w:rPr>
  </w:style>
  <w:style w:type="character" w:customStyle="1" w:styleId="HeadingAPPENDIXChar">
    <w:name w:val="Heading APPENDIX Char"/>
    <w:basedOn w:val="10"/>
    <w:link w:val="HeadingAPPENDIX"/>
    <w:rsid w:val="005C6455"/>
    <w:rPr>
      <w:rFonts w:ascii="Times New Roman Bold" w:eastAsiaTheme="majorEastAsia" w:hAnsi="Times New Roman Bold" w:cstheme="majorBidi"/>
      <w:b/>
      <w:bCs/>
      <w:caps/>
      <w:kern w:val="28"/>
      <w:sz w:val="28"/>
      <w:szCs w:val="28"/>
    </w:rPr>
  </w:style>
  <w:style w:type="character" w:customStyle="1" w:styleId="10">
    <w:name w:val="Заголовок 1 Знак"/>
    <w:basedOn w:val="a0"/>
    <w:link w:val="1"/>
    <w:rsid w:val="005C6455"/>
    <w:rPr>
      <w:rFonts w:eastAsiaTheme="majorEastAsia" w:cstheme="majorBidi"/>
      <w:b/>
      <w:caps/>
      <w:kern w:val="28"/>
      <w:sz w:val="28"/>
    </w:rPr>
  </w:style>
  <w:style w:type="paragraph" w:styleId="a3">
    <w:name w:val="Normal Indent"/>
    <w:basedOn w:val="a"/>
    <w:uiPriority w:val="99"/>
    <w:semiHidden/>
    <w:unhideWhenUsed/>
    <w:rsid w:val="00A20430"/>
    <w:pPr>
      <w:ind w:left="720"/>
    </w:pPr>
  </w:style>
  <w:style w:type="paragraph" w:customStyle="1" w:styleId="Normal2">
    <w:name w:val="Normal2"/>
    <w:basedOn w:val="a"/>
    <w:link w:val="Normal2Char"/>
    <w:qFormat/>
    <w:rsid w:val="005C6455"/>
    <w:pPr>
      <w:tabs>
        <w:tab w:val="left" w:pos="6660"/>
      </w:tabs>
      <w:spacing w:before="0" w:after="0"/>
      <w:jc w:val="left"/>
    </w:pPr>
    <w:rPr>
      <w:bCs/>
    </w:rPr>
  </w:style>
  <w:style w:type="character" w:customStyle="1" w:styleId="Normal2Char">
    <w:name w:val="Normal2 Char"/>
    <w:basedOn w:val="a0"/>
    <w:link w:val="Normal2"/>
    <w:rsid w:val="005C6455"/>
    <w:rPr>
      <w:bCs/>
      <w:sz w:val="24"/>
    </w:rPr>
  </w:style>
  <w:style w:type="character" w:customStyle="1" w:styleId="20">
    <w:name w:val="Заголовок 2 Знак"/>
    <w:basedOn w:val="a0"/>
    <w:link w:val="2"/>
    <w:rsid w:val="005C6455"/>
    <w:rPr>
      <w:rFonts w:ascii="Times New Roman Bold"/>
      <w:b/>
      <w:caps/>
      <w:sz w:val="22"/>
    </w:rPr>
  </w:style>
  <w:style w:type="character" w:customStyle="1" w:styleId="30">
    <w:name w:val="Заголовок 3 Знак"/>
    <w:basedOn w:val="a0"/>
    <w:link w:val="3"/>
    <w:rsid w:val="005C6455"/>
    <w:rPr>
      <w:rFonts w:ascii="Times New Roman Bold" w:hAnsi="Times New Roman Bold"/>
      <w:sz w:val="24"/>
    </w:rPr>
  </w:style>
  <w:style w:type="character" w:customStyle="1" w:styleId="40">
    <w:name w:val="Заголовок 4 Знак"/>
    <w:basedOn w:val="a0"/>
    <w:link w:val="4"/>
    <w:rsid w:val="005C6455"/>
    <w:rPr>
      <w:bCs/>
      <w:i/>
      <w:sz w:val="24"/>
      <w:szCs w:val="28"/>
    </w:rPr>
  </w:style>
  <w:style w:type="character" w:customStyle="1" w:styleId="50">
    <w:name w:val="Заголовок 5 Знак"/>
    <w:basedOn w:val="a0"/>
    <w:link w:val="5"/>
    <w:rsid w:val="005C6455"/>
    <w:rPr>
      <w:b/>
      <w:bCs/>
      <w:sz w:val="24"/>
      <w:szCs w:val="28"/>
      <w:u w:val="single"/>
    </w:rPr>
  </w:style>
  <w:style w:type="character" w:customStyle="1" w:styleId="60">
    <w:name w:val="Заголовок 6 Знак"/>
    <w:basedOn w:val="a0"/>
    <w:link w:val="6"/>
    <w:rsid w:val="005C6455"/>
    <w:rPr>
      <w:b/>
      <w:sz w:val="24"/>
      <w:u w:val="single"/>
    </w:rPr>
  </w:style>
  <w:style w:type="character" w:customStyle="1" w:styleId="70">
    <w:name w:val="Заголовок 7 Знак"/>
    <w:basedOn w:val="a0"/>
    <w:link w:val="7"/>
    <w:rsid w:val="005C6455"/>
    <w:rPr>
      <w:b/>
      <w:bCs/>
      <w:sz w:val="24"/>
    </w:rPr>
  </w:style>
  <w:style w:type="character" w:customStyle="1" w:styleId="80">
    <w:name w:val="Заголовок 8 Знак"/>
    <w:basedOn w:val="a0"/>
    <w:link w:val="8"/>
    <w:rsid w:val="005C6455"/>
    <w:rPr>
      <w:b/>
      <w:bCs/>
    </w:rPr>
  </w:style>
  <w:style w:type="character" w:customStyle="1" w:styleId="90">
    <w:name w:val="Заголовок 9 Знак"/>
    <w:basedOn w:val="a0"/>
    <w:link w:val="9"/>
    <w:rsid w:val="005C6455"/>
    <w:rPr>
      <w:b/>
      <w:bCs/>
      <w:caps/>
      <w:kern w:val="28"/>
      <w:sz w:val="24"/>
    </w:rPr>
  </w:style>
  <w:style w:type="paragraph" w:styleId="a4">
    <w:name w:val="caption"/>
    <w:basedOn w:val="a"/>
    <w:next w:val="a"/>
    <w:link w:val="a5"/>
    <w:uiPriority w:val="99"/>
    <w:qFormat/>
    <w:rsid w:val="005C6455"/>
    <w:pPr>
      <w:spacing w:before="100" w:beforeAutospacing="1" w:after="100" w:afterAutospacing="1"/>
      <w:jc w:val="center"/>
    </w:pPr>
    <w:rPr>
      <w:b/>
      <w:bCs/>
      <w:i/>
    </w:rPr>
  </w:style>
  <w:style w:type="character" w:customStyle="1" w:styleId="a5">
    <w:name w:val="Название объекта Знак"/>
    <w:basedOn w:val="a0"/>
    <w:link w:val="a4"/>
    <w:uiPriority w:val="99"/>
    <w:rsid w:val="005C6455"/>
    <w:rPr>
      <w:b/>
      <w:bCs/>
      <w:i/>
      <w:sz w:val="24"/>
    </w:rPr>
  </w:style>
  <w:style w:type="paragraph" w:styleId="a6">
    <w:name w:val="Title"/>
    <w:basedOn w:val="a"/>
    <w:next w:val="a"/>
    <w:link w:val="a7"/>
    <w:qFormat/>
    <w:rsid w:val="005C6455"/>
    <w:pPr>
      <w:contextualSpacing/>
      <w:jc w:val="center"/>
    </w:pPr>
    <w:rPr>
      <w:rFonts w:ascii="Arial Bold" w:hAnsi="Arial Bold" w:cs="Arial"/>
      <w:b/>
      <w:caps/>
      <w:sz w:val="36"/>
    </w:rPr>
  </w:style>
  <w:style w:type="character" w:customStyle="1" w:styleId="a7">
    <w:name w:val="Название Знак"/>
    <w:basedOn w:val="a0"/>
    <w:link w:val="a6"/>
    <w:rsid w:val="005C6455"/>
    <w:rPr>
      <w:rFonts w:ascii="Arial Bold" w:hAnsi="Arial Bold" w:cs="Arial"/>
      <w:b/>
      <w:caps/>
      <w:sz w:val="36"/>
    </w:rPr>
  </w:style>
  <w:style w:type="paragraph" w:styleId="a8">
    <w:name w:val="Balloon Text"/>
    <w:basedOn w:val="a"/>
    <w:link w:val="a9"/>
    <w:uiPriority w:val="99"/>
    <w:semiHidden/>
    <w:unhideWhenUsed/>
    <w:rsid w:val="00867BE0"/>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867BE0"/>
    <w:rPr>
      <w:rFonts w:ascii="Tahoma" w:hAnsi="Tahoma" w:cs="Tahoma"/>
      <w:sz w:val="16"/>
      <w:szCs w:val="16"/>
    </w:rPr>
  </w:style>
  <w:style w:type="paragraph" w:styleId="aa">
    <w:name w:val="header"/>
    <w:basedOn w:val="a"/>
    <w:link w:val="ab"/>
    <w:uiPriority w:val="99"/>
    <w:unhideWhenUsed/>
    <w:rsid w:val="00043882"/>
    <w:pPr>
      <w:tabs>
        <w:tab w:val="center" w:pos="4680"/>
        <w:tab w:val="right" w:pos="9360"/>
      </w:tabs>
      <w:spacing w:before="0" w:after="0"/>
    </w:pPr>
  </w:style>
  <w:style w:type="character" w:customStyle="1" w:styleId="ab">
    <w:name w:val="Верхний колонтитул Знак"/>
    <w:basedOn w:val="a0"/>
    <w:link w:val="aa"/>
    <w:uiPriority w:val="99"/>
    <w:rsid w:val="00043882"/>
    <w:rPr>
      <w:sz w:val="24"/>
    </w:rPr>
  </w:style>
  <w:style w:type="paragraph" w:styleId="ac">
    <w:name w:val="footer"/>
    <w:basedOn w:val="a"/>
    <w:link w:val="ad"/>
    <w:uiPriority w:val="99"/>
    <w:unhideWhenUsed/>
    <w:rsid w:val="00043882"/>
    <w:pPr>
      <w:tabs>
        <w:tab w:val="center" w:pos="4680"/>
        <w:tab w:val="right" w:pos="9360"/>
      </w:tabs>
      <w:spacing w:before="0" w:after="0"/>
    </w:pPr>
  </w:style>
  <w:style w:type="character" w:customStyle="1" w:styleId="ad">
    <w:name w:val="Нижний колонтитул Знак"/>
    <w:basedOn w:val="a0"/>
    <w:link w:val="ac"/>
    <w:uiPriority w:val="99"/>
    <w:rsid w:val="00043882"/>
    <w:rPr>
      <w:sz w:val="24"/>
    </w:rPr>
  </w:style>
  <w:style w:type="paragraph" w:styleId="ae">
    <w:name w:val="footnote text"/>
    <w:basedOn w:val="a"/>
    <w:link w:val="af"/>
    <w:uiPriority w:val="99"/>
    <w:semiHidden/>
    <w:unhideWhenUsed/>
    <w:rsid w:val="00116772"/>
    <w:pPr>
      <w:spacing w:before="0" w:after="0"/>
    </w:pPr>
    <w:rPr>
      <w:sz w:val="20"/>
    </w:rPr>
  </w:style>
  <w:style w:type="character" w:customStyle="1" w:styleId="af">
    <w:name w:val="Текст сноски Знак"/>
    <w:basedOn w:val="a0"/>
    <w:link w:val="ae"/>
    <w:uiPriority w:val="99"/>
    <w:semiHidden/>
    <w:rsid w:val="00116772"/>
  </w:style>
  <w:style w:type="character" w:styleId="af0">
    <w:name w:val="footnote reference"/>
    <w:basedOn w:val="a0"/>
    <w:uiPriority w:val="99"/>
    <w:semiHidden/>
    <w:unhideWhenUsed/>
    <w:rsid w:val="00116772"/>
    <w:rPr>
      <w:vertAlign w:val="superscript"/>
    </w:rPr>
  </w:style>
  <w:style w:type="character" w:customStyle="1" w:styleId="field-content">
    <w:name w:val="field-content"/>
    <w:basedOn w:val="a0"/>
    <w:rsid w:val="00106A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C6455"/>
    <w:pPr>
      <w:spacing w:before="120" w:after="120"/>
      <w:jc w:val="both"/>
    </w:pPr>
    <w:rPr>
      <w:sz w:val="24"/>
    </w:rPr>
  </w:style>
  <w:style w:type="paragraph" w:styleId="1">
    <w:name w:val="heading 1"/>
    <w:basedOn w:val="a"/>
    <w:next w:val="a"/>
    <w:link w:val="10"/>
    <w:qFormat/>
    <w:rsid w:val="005C6455"/>
    <w:pPr>
      <w:keepNext/>
      <w:numPr>
        <w:numId w:val="23"/>
      </w:numPr>
      <w:outlineLvl w:val="0"/>
    </w:pPr>
    <w:rPr>
      <w:rFonts w:eastAsiaTheme="majorEastAsia" w:cstheme="majorBidi"/>
      <w:b/>
      <w:caps/>
      <w:kern w:val="28"/>
      <w:sz w:val="28"/>
    </w:rPr>
  </w:style>
  <w:style w:type="paragraph" w:styleId="2">
    <w:name w:val="heading 2"/>
    <w:basedOn w:val="a"/>
    <w:next w:val="a"/>
    <w:link w:val="20"/>
    <w:qFormat/>
    <w:rsid w:val="005C6455"/>
    <w:pPr>
      <w:keepNext/>
      <w:numPr>
        <w:ilvl w:val="1"/>
        <w:numId w:val="23"/>
      </w:numPr>
      <w:outlineLvl w:val="1"/>
    </w:pPr>
    <w:rPr>
      <w:rFonts w:ascii="Times New Roman Bold"/>
      <w:b/>
      <w:caps/>
      <w:sz w:val="22"/>
    </w:rPr>
  </w:style>
  <w:style w:type="paragraph" w:styleId="3">
    <w:name w:val="heading 3"/>
    <w:basedOn w:val="2"/>
    <w:next w:val="a"/>
    <w:link w:val="30"/>
    <w:autoRedefine/>
    <w:qFormat/>
    <w:rsid w:val="005C6455"/>
    <w:pPr>
      <w:numPr>
        <w:ilvl w:val="2"/>
      </w:numPr>
      <w:outlineLvl w:val="2"/>
    </w:pPr>
    <w:rPr>
      <w:rFonts w:hAnsi="Times New Roman Bold"/>
      <w:b w:val="0"/>
      <w:caps w:val="0"/>
      <w:sz w:val="24"/>
    </w:rPr>
  </w:style>
  <w:style w:type="paragraph" w:styleId="4">
    <w:name w:val="heading 4"/>
    <w:basedOn w:val="a"/>
    <w:next w:val="a"/>
    <w:link w:val="40"/>
    <w:qFormat/>
    <w:rsid w:val="005C6455"/>
    <w:pPr>
      <w:keepNext/>
      <w:numPr>
        <w:ilvl w:val="3"/>
        <w:numId w:val="23"/>
      </w:numPr>
      <w:outlineLvl w:val="3"/>
    </w:pPr>
    <w:rPr>
      <w:bCs/>
      <w:i/>
      <w:szCs w:val="28"/>
    </w:rPr>
  </w:style>
  <w:style w:type="paragraph" w:styleId="5">
    <w:name w:val="heading 5"/>
    <w:basedOn w:val="4"/>
    <w:next w:val="a"/>
    <w:link w:val="50"/>
    <w:qFormat/>
    <w:rsid w:val="005C6455"/>
    <w:pPr>
      <w:numPr>
        <w:ilvl w:val="4"/>
      </w:numPr>
      <w:outlineLvl w:val="4"/>
    </w:pPr>
    <w:rPr>
      <w:b/>
      <w:i w:val="0"/>
      <w:u w:val="single"/>
    </w:rPr>
  </w:style>
  <w:style w:type="paragraph" w:styleId="6">
    <w:name w:val="heading 6"/>
    <w:basedOn w:val="a"/>
    <w:next w:val="a"/>
    <w:link w:val="60"/>
    <w:qFormat/>
    <w:rsid w:val="005C6455"/>
    <w:pPr>
      <w:keepNext/>
      <w:tabs>
        <w:tab w:val="num" w:pos="1152"/>
      </w:tabs>
      <w:ind w:left="1152" w:hanging="1152"/>
      <w:outlineLvl w:val="5"/>
    </w:pPr>
    <w:rPr>
      <w:b/>
      <w:u w:val="single"/>
    </w:rPr>
  </w:style>
  <w:style w:type="paragraph" w:styleId="7">
    <w:name w:val="heading 7"/>
    <w:basedOn w:val="a"/>
    <w:next w:val="a"/>
    <w:link w:val="70"/>
    <w:qFormat/>
    <w:rsid w:val="005C6455"/>
    <w:pPr>
      <w:keepNext/>
      <w:pBdr>
        <w:bottom w:val="single" w:sz="12" w:space="1" w:color="auto"/>
      </w:pBdr>
      <w:jc w:val="center"/>
      <w:outlineLvl w:val="6"/>
    </w:pPr>
    <w:rPr>
      <w:b/>
      <w:bCs/>
    </w:rPr>
  </w:style>
  <w:style w:type="paragraph" w:styleId="8">
    <w:name w:val="heading 8"/>
    <w:basedOn w:val="a"/>
    <w:next w:val="a"/>
    <w:link w:val="80"/>
    <w:qFormat/>
    <w:rsid w:val="005C6455"/>
    <w:pPr>
      <w:keepNext/>
      <w:pBdr>
        <w:top w:val="double" w:sz="4" w:space="1" w:color="auto"/>
        <w:left w:val="double" w:sz="4" w:space="4" w:color="auto"/>
        <w:bottom w:val="double" w:sz="4" w:space="1" w:color="auto"/>
        <w:right w:val="double" w:sz="4" w:space="4" w:color="auto"/>
      </w:pBdr>
      <w:jc w:val="center"/>
      <w:outlineLvl w:val="7"/>
    </w:pPr>
    <w:rPr>
      <w:b/>
      <w:bCs/>
      <w:sz w:val="20"/>
    </w:rPr>
  </w:style>
  <w:style w:type="paragraph" w:styleId="9">
    <w:name w:val="heading 9"/>
    <w:next w:val="a"/>
    <w:link w:val="90"/>
    <w:qFormat/>
    <w:rsid w:val="005C6455"/>
    <w:pPr>
      <w:tabs>
        <w:tab w:val="num" w:pos="1584"/>
      </w:tabs>
      <w:ind w:left="1584" w:hanging="1584"/>
      <w:jc w:val="center"/>
      <w:outlineLvl w:val="8"/>
    </w:pPr>
    <w:rPr>
      <w:b/>
      <w:bCs/>
      <w:caps/>
      <w:kern w:val="28"/>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APPENDIX">
    <w:name w:val="Heading APPENDIX"/>
    <w:basedOn w:val="1"/>
    <w:next w:val="a3"/>
    <w:link w:val="HeadingAPPENDIXChar"/>
    <w:autoRedefine/>
    <w:qFormat/>
    <w:rsid w:val="005C6455"/>
    <w:pPr>
      <w:keepLines/>
      <w:numPr>
        <w:numId w:val="0"/>
      </w:numPr>
      <w:ind w:left="360" w:hanging="360"/>
      <w:contextualSpacing/>
      <w:jc w:val="left"/>
    </w:pPr>
    <w:rPr>
      <w:rFonts w:ascii="Times New Roman Bold" w:hAnsi="Times New Roman Bold"/>
      <w:bCs/>
      <w:szCs w:val="28"/>
    </w:rPr>
  </w:style>
  <w:style w:type="character" w:customStyle="1" w:styleId="HeadingAPPENDIXChar">
    <w:name w:val="Heading APPENDIX Char"/>
    <w:basedOn w:val="10"/>
    <w:link w:val="HeadingAPPENDIX"/>
    <w:rsid w:val="005C6455"/>
    <w:rPr>
      <w:rFonts w:ascii="Times New Roman Bold" w:eastAsiaTheme="majorEastAsia" w:hAnsi="Times New Roman Bold" w:cstheme="majorBidi"/>
      <w:b/>
      <w:bCs/>
      <w:caps/>
      <w:kern w:val="28"/>
      <w:sz w:val="28"/>
      <w:szCs w:val="28"/>
    </w:rPr>
  </w:style>
  <w:style w:type="character" w:customStyle="1" w:styleId="10">
    <w:name w:val="Заголовок 1 Знак"/>
    <w:basedOn w:val="a0"/>
    <w:link w:val="1"/>
    <w:rsid w:val="005C6455"/>
    <w:rPr>
      <w:rFonts w:eastAsiaTheme="majorEastAsia" w:cstheme="majorBidi"/>
      <w:b/>
      <w:caps/>
      <w:kern w:val="28"/>
      <w:sz w:val="28"/>
    </w:rPr>
  </w:style>
  <w:style w:type="paragraph" w:styleId="a3">
    <w:name w:val="Normal Indent"/>
    <w:basedOn w:val="a"/>
    <w:uiPriority w:val="99"/>
    <w:semiHidden/>
    <w:unhideWhenUsed/>
    <w:rsid w:val="00A20430"/>
    <w:pPr>
      <w:ind w:left="720"/>
    </w:pPr>
  </w:style>
  <w:style w:type="paragraph" w:customStyle="1" w:styleId="Normal2">
    <w:name w:val="Normal2"/>
    <w:basedOn w:val="a"/>
    <w:link w:val="Normal2Char"/>
    <w:qFormat/>
    <w:rsid w:val="005C6455"/>
    <w:pPr>
      <w:tabs>
        <w:tab w:val="left" w:pos="6660"/>
      </w:tabs>
      <w:spacing w:before="0" w:after="0"/>
      <w:jc w:val="left"/>
    </w:pPr>
    <w:rPr>
      <w:bCs/>
    </w:rPr>
  </w:style>
  <w:style w:type="character" w:customStyle="1" w:styleId="Normal2Char">
    <w:name w:val="Normal2 Char"/>
    <w:basedOn w:val="a0"/>
    <w:link w:val="Normal2"/>
    <w:rsid w:val="005C6455"/>
    <w:rPr>
      <w:bCs/>
      <w:sz w:val="24"/>
    </w:rPr>
  </w:style>
  <w:style w:type="character" w:customStyle="1" w:styleId="20">
    <w:name w:val="Заголовок 2 Знак"/>
    <w:basedOn w:val="a0"/>
    <w:link w:val="2"/>
    <w:rsid w:val="005C6455"/>
    <w:rPr>
      <w:rFonts w:ascii="Times New Roman Bold"/>
      <w:b/>
      <w:caps/>
      <w:sz w:val="22"/>
    </w:rPr>
  </w:style>
  <w:style w:type="character" w:customStyle="1" w:styleId="30">
    <w:name w:val="Заголовок 3 Знак"/>
    <w:basedOn w:val="a0"/>
    <w:link w:val="3"/>
    <w:rsid w:val="005C6455"/>
    <w:rPr>
      <w:rFonts w:ascii="Times New Roman Bold" w:hAnsi="Times New Roman Bold"/>
      <w:sz w:val="24"/>
    </w:rPr>
  </w:style>
  <w:style w:type="character" w:customStyle="1" w:styleId="40">
    <w:name w:val="Заголовок 4 Знак"/>
    <w:basedOn w:val="a0"/>
    <w:link w:val="4"/>
    <w:rsid w:val="005C6455"/>
    <w:rPr>
      <w:bCs/>
      <w:i/>
      <w:sz w:val="24"/>
      <w:szCs w:val="28"/>
    </w:rPr>
  </w:style>
  <w:style w:type="character" w:customStyle="1" w:styleId="50">
    <w:name w:val="Заголовок 5 Знак"/>
    <w:basedOn w:val="a0"/>
    <w:link w:val="5"/>
    <w:rsid w:val="005C6455"/>
    <w:rPr>
      <w:b/>
      <w:bCs/>
      <w:sz w:val="24"/>
      <w:szCs w:val="28"/>
      <w:u w:val="single"/>
    </w:rPr>
  </w:style>
  <w:style w:type="character" w:customStyle="1" w:styleId="60">
    <w:name w:val="Заголовок 6 Знак"/>
    <w:basedOn w:val="a0"/>
    <w:link w:val="6"/>
    <w:rsid w:val="005C6455"/>
    <w:rPr>
      <w:b/>
      <w:sz w:val="24"/>
      <w:u w:val="single"/>
    </w:rPr>
  </w:style>
  <w:style w:type="character" w:customStyle="1" w:styleId="70">
    <w:name w:val="Заголовок 7 Знак"/>
    <w:basedOn w:val="a0"/>
    <w:link w:val="7"/>
    <w:rsid w:val="005C6455"/>
    <w:rPr>
      <w:b/>
      <w:bCs/>
      <w:sz w:val="24"/>
    </w:rPr>
  </w:style>
  <w:style w:type="character" w:customStyle="1" w:styleId="80">
    <w:name w:val="Заголовок 8 Знак"/>
    <w:basedOn w:val="a0"/>
    <w:link w:val="8"/>
    <w:rsid w:val="005C6455"/>
    <w:rPr>
      <w:b/>
      <w:bCs/>
    </w:rPr>
  </w:style>
  <w:style w:type="character" w:customStyle="1" w:styleId="90">
    <w:name w:val="Заголовок 9 Знак"/>
    <w:basedOn w:val="a0"/>
    <w:link w:val="9"/>
    <w:rsid w:val="005C6455"/>
    <w:rPr>
      <w:b/>
      <w:bCs/>
      <w:caps/>
      <w:kern w:val="28"/>
      <w:sz w:val="24"/>
    </w:rPr>
  </w:style>
  <w:style w:type="paragraph" w:styleId="a4">
    <w:name w:val="caption"/>
    <w:basedOn w:val="a"/>
    <w:next w:val="a"/>
    <w:link w:val="a5"/>
    <w:uiPriority w:val="99"/>
    <w:qFormat/>
    <w:rsid w:val="005C6455"/>
    <w:pPr>
      <w:spacing w:before="100" w:beforeAutospacing="1" w:after="100" w:afterAutospacing="1"/>
      <w:jc w:val="center"/>
    </w:pPr>
    <w:rPr>
      <w:b/>
      <w:bCs/>
      <w:i/>
    </w:rPr>
  </w:style>
  <w:style w:type="character" w:customStyle="1" w:styleId="a5">
    <w:name w:val="Название объекта Знак"/>
    <w:basedOn w:val="a0"/>
    <w:link w:val="a4"/>
    <w:uiPriority w:val="99"/>
    <w:rsid w:val="005C6455"/>
    <w:rPr>
      <w:b/>
      <w:bCs/>
      <w:i/>
      <w:sz w:val="24"/>
    </w:rPr>
  </w:style>
  <w:style w:type="paragraph" w:styleId="a6">
    <w:name w:val="Title"/>
    <w:basedOn w:val="a"/>
    <w:next w:val="a"/>
    <w:link w:val="a7"/>
    <w:qFormat/>
    <w:rsid w:val="005C6455"/>
    <w:pPr>
      <w:contextualSpacing/>
      <w:jc w:val="center"/>
    </w:pPr>
    <w:rPr>
      <w:rFonts w:ascii="Arial Bold" w:hAnsi="Arial Bold" w:cs="Arial"/>
      <w:b/>
      <w:caps/>
      <w:sz w:val="36"/>
    </w:rPr>
  </w:style>
  <w:style w:type="character" w:customStyle="1" w:styleId="a7">
    <w:name w:val="Название Знак"/>
    <w:basedOn w:val="a0"/>
    <w:link w:val="a6"/>
    <w:rsid w:val="005C6455"/>
    <w:rPr>
      <w:rFonts w:ascii="Arial Bold" w:hAnsi="Arial Bold" w:cs="Arial"/>
      <w:b/>
      <w:caps/>
      <w:sz w:val="36"/>
    </w:rPr>
  </w:style>
  <w:style w:type="paragraph" w:styleId="a8">
    <w:name w:val="Balloon Text"/>
    <w:basedOn w:val="a"/>
    <w:link w:val="a9"/>
    <w:uiPriority w:val="99"/>
    <w:semiHidden/>
    <w:unhideWhenUsed/>
    <w:rsid w:val="00867BE0"/>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867BE0"/>
    <w:rPr>
      <w:rFonts w:ascii="Tahoma" w:hAnsi="Tahoma" w:cs="Tahoma"/>
      <w:sz w:val="16"/>
      <w:szCs w:val="16"/>
    </w:rPr>
  </w:style>
  <w:style w:type="paragraph" w:styleId="aa">
    <w:name w:val="header"/>
    <w:basedOn w:val="a"/>
    <w:link w:val="ab"/>
    <w:uiPriority w:val="99"/>
    <w:unhideWhenUsed/>
    <w:rsid w:val="00043882"/>
    <w:pPr>
      <w:tabs>
        <w:tab w:val="center" w:pos="4680"/>
        <w:tab w:val="right" w:pos="9360"/>
      </w:tabs>
      <w:spacing w:before="0" w:after="0"/>
    </w:pPr>
  </w:style>
  <w:style w:type="character" w:customStyle="1" w:styleId="ab">
    <w:name w:val="Верхний колонтитул Знак"/>
    <w:basedOn w:val="a0"/>
    <w:link w:val="aa"/>
    <w:uiPriority w:val="99"/>
    <w:rsid w:val="00043882"/>
    <w:rPr>
      <w:sz w:val="24"/>
    </w:rPr>
  </w:style>
  <w:style w:type="paragraph" w:styleId="ac">
    <w:name w:val="footer"/>
    <w:basedOn w:val="a"/>
    <w:link w:val="ad"/>
    <w:uiPriority w:val="99"/>
    <w:unhideWhenUsed/>
    <w:rsid w:val="00043882"/>
    <w:pPr>
      <w:tabs>
        <w:tab w:val="center" w:pos="4680"/>
        <w:tab w:val="right" w:pos="9360"/>
      </w:tabs>
      <w:spacing w:before="0" w:after="0"/>
    </w:pPr>
  </w:style>
  <w:style w:type="character" w:customStyle="1" w:styleId="ad">
    <w:name w:val="Нижний колонтитул Знак"/>
    <w:basedOn w:val="a0"/>
    <w:link w:val="ac"/>
    <w:uiPriority w:val="99"/>
    <w:rsid w:val="00043882"/>
    <w:rPr>
      <w:sz w:val="24"/>
    </w:rPr>
  </w:style>
  <w:style w:type="paragraph" w:styleId="ae">
    <w:name w:val="footnote text"/>
    <w:basedOn w:val="a"/>
    <w:link w:val="af"/>
    <w:uiPriority w:val="99"/>
    <w:semiHidden/>
    <w:unhideWhenUsed/>
    <w:rsid w:val="00116772"/>
    <w:pPr>
      <w:spacing w:before="0" w:after="0"/>
    </w:pPr>
    <w:rPr>
      <w:sz w:val="20"/>
    </w:rPr>
  </w:style>
  <w:style w:type="character" w:customStyle="1" w:styleId="af">
    <w:name w:val="Текст сноски Знак"/>
    <w:basedOn w:val="a0"/>
    <w:link w:val="ae"/>
    <w:uiPriority w:val="99"/>
    <w:semiHidden/>
    <w:rsid w:val="00116772"/>
  </w:style>
  <w:style w:type="character" w:styleId="af0">
    <w:name w:val="footnote reference"/>
    <w:basedOn w:val="a0"/>
    <w:uiPriority w:val="99"/>
    <w:semiHidden/>
    <w:unhideWhenUsed/>
    <w:rsid w:val="00116772"/>
    <w:rPr>
      <w:vertAlign w:val="superscript"/>
    </w:rPr>
  </w:style>
  <w:style w:type="character" w:customStyle="1" w:styleId="field-content">
    <w:name w:val="field-content"/>
    <w:basedOn w:val="a0"/>
    <w:rsid w:val="00106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45562">
      <w:bodyDiv w:val="1"/>
      <w:marLeft w:val="0"/>
      <w:marRight w:val="0"/>
      <w:marTop w:val="0"/>
      <w:marBottom w:val="0"/>
      <w:divBdr>
        <w:top w:val="none" w:sz="0" w:space="0" w:color="auto"/>
        <w:left w:val="none" w:sz="0" w:space="0" w:color="auto"/>
        <w:bottom w:val="none" w:sz="0" w:space="0" w:color="auto"/>
        <w:right w:val="none" w:sz="0" w:space="0" w:color="auto"/>
      </w:divBdr>
    </w:div>
    <w:div w:id="1055160600">
      <w:bodyDiv w:val="1"/>
      <w:marLeft w:val="0"/>
      <w:marRight w:val="0"/>
      <w:marTop w:val="0"/>
      <w:marBottom w:val="0"/>
      <w:divBdr>
        <w:top w:val="none" w:sz="0" w:space="0" w:color="auto"/>
        <w:left w:val="none" w:sz="0" w:space="0" w:color="auto"/>
        <w:bottom w:val="none" w:sz="0" w:space="0" w:color="auto"/>
        <w:right w:val="none" w:sz="0" w:space="0" w:color="auto"/>
      </w:divBdr>
    </w:div>
    <w:div w:id="1301307229">
      <w:bodyDiv w:val="1"/>
      <w:marLeft w:val="0"/>
      <w:marRight w:val="0"/>
      <w:marTop w:val="0"/>
      <w:marBottom w:val="0"/>
      <w:divBdr>
        <w:top w:val="none" w:sz="0" w:space="0" w:color="auto"/>
        <w:left w:val="none" w:sz="0" w:space="0" w:color="auto"/>
        <w:bottom w:val="none" w:sz="0" w:space="0" w:color="auto"/>
        <w:right w:val="none" w:sz="0" w:space="0" w:color="auto"/>
      </w:divBdr>
      <w:divsChild>
        <w:div w:id="1451851687">
          <w:marLeft w:val="0"/>
          <w:marRight w:val="0"/>
          <w:marTop w:val="0"/>
          <w:marBottom w:val="0"/>
          <w:divBdr>
            <w:top w:val="none" w:sz="0" w:space="0" w:color="auto"/>
            <w:left w:val="none" w:sz="0" w:space="0" w:color="auto"/>
            <w:bottom w:val="none" w:sz="0" w:space="0" w:color="auto"/>
            <w:right w:val="none" w:sz="0" w:space="0" w:color="auto"/>
          </w:divBdr>
          <w:divsChild>
            <w:div w:id="996302887">
              <w:marLeft w:val="0"/>
              <w:marRight w:val="0"/>
              <w:marTop w:val="0"/>
              <w:marBottom w:val="150"/>
              <w:divBdr>
                <w:top w:val="none" w:sz="0" w:space="0" w:color="auto"/>
                <w:left w:val="none" w:sz="0" w:space="0" w:color="auto"/>
                <w:bottom w:val="none" w:sz="0" w:space="0" w:color="auto"/>
                <w:right w:val="none" w:sz="0" w:space="0" w:color="auto"/>
              </w:divBdr>
              <w:divsChild>
                <w:div w:id="9288541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brancato\Documents\FORMS\conf\Econ%20data%20by%20country.txt"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brancato\Documents\FORMS\conf\Econ%20data%20by%20country.txt"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brancato\Documents\FORMS\conf\Econ%20data%20by%20country.tx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1200"/>
            </a:pPr>
            <a:r>
              <a:rPr lang="en-US" sz="1200"/>
              <a:t>GDP Based on Purchasing Power Parity (PPP) Share of World Total</a:t>
            </a:r>
          </a:p>
        </c:rich>
      </c:tx>
      <c:overlay val="0"/>
    </c:title>
    <c:autoTitleDeleted val="0"/>
    <c:plotArea>
      <c:layout>
        <c:manualLayout>
          <c:layoutTarget val="inner"/>
          <c:xMode val="edge"/>
          <c:yMode val="edge"/>
          <c:x val="8.5202874230885073E-2"/>
          <c:y val="0.18946612906630639"/>
          <c:w val="0.88747472139753025"/>
          <c:h val="0.6079440304546383"/>
        </c:manualLayout>
      </c:layout>
      <c:barChart>
        <c:barDir val="col"/>
        <c:grouping val="clustered"/>
        <c:varyColors val="0"/>
        <c:ser>
          <c:idx val="0"/>
          <c:order val="0"/>
          <c:tx>
            <c:strRef>
              <c:f>Sheet1!$H$2</c:f>
              <c:strCache>
                <c:ptCount val="1"/>
                <c:pt idx="0">
                  <c:v>2013</c:v>
                </c:pt>
              </c:strCache>
            </c:strRef>
          </c:tx>
          <c:invertIfNegative val="0"/>
          <c:dPt>
            <c:idx val="5"/>
            <c:invertIfNegative val="0"/>
            <c:bubble3D val="0"/>
            <c:spPr>
              <a:ln>
                <a:solidFill>
                  <a:srgbClr val="FF0000"/>
                </a:solidFill>
              </a:ln>
            </c:spPr>
          </c:dPt>
          <c:dLbls>
            <c:txPr>
              <a:bodyPr/>
              <a:lstStyle/>
              <a:p>
                <a:pPr>
                  <a:defRPr sz="800"/>
                </a:pPr>
                <a:endParaRPr lang="ru-RU"/>
              </a:p>
            </c:txPr>
            <c:dLblPos val="outEnd"/>
            <c:showLegendKey val="0"/>
            <c:showVal val="1"/>
            <c:showCatName val="0"/>
            <c:showSerName val="0"/>
            <c:showPercent val="0"/>
            <c:showBubbleSize val="0"/>
            <c:showLeaderLines val="0"/>
          </c:dLbls>
          <c:cat>
            <c:strRef>
              <c:f>Sheet1!$G$3:$G$9</c:f>
              <c:strCache>
                <c:ptCount val="7"/>
                <c:pt idx="0">
                  <c:v>Brazil</c:v>
                </c:pt>
                <c:pt idx="1">
                  <c:v>Russia</c:v>
                </c:pt>
                <c:pt idx="2">
                  <c:v>India</c:v>
                </c:pt>
                <c:pt idx="3">
                  <c:v>China</c:v>
                </c:pt>
                <c:pt idx="4">
                  <c:v>South Africa</c:v>
                </c:pt>
                <c:pt idx="5">
                  <c:v>BRICS</c:v>
                </c:pt>
                <c:pt idx="6">
                  <c:v>US</c:v>
                </c:pt>
              </c:strCache>
            </c:strRef>
          </c:cat>
          <c:val>
            <c:numRef>
              <c:f>Sheet1!$H$3:$H$9</c:f>
              <c:numCache>
                <c:formatCode>0.0%</c:formatCode>
                <c:ptCount val="7"/>
                <c:pt idx="0">
                  <c:v>2.7859999999999999E-2</c:v>
                </c:pt>
                <c:pt idx="1">
                  <c:v>2.9380000000000003E-2</c:v>
                </c:pt>
                <c:pt idx="2">
                  <c:v>5.8270000000000002E-2</c:v>
                </c:pt>
                <c:pt idx="3">
                  <c:v>0.15398000000000001</c:v>
                </c:pt>
                <c:pt idx="4">
                  <c:v>6.8600000000000006E-3</c:v>
                </c:pt>
                <c:pt idx="5">
                  <c:v>0.27634999999999998</c:v>
                </c:pt>
                <c:pt idx="6">
                  <c:v>0.19311</c:v>
                </c:pt>
              </c:numCache>
            </c:numRef>
          </c:val>
        </c:ser>
        <c:ser>
          <c:idx val="1"/>
          <c:order val="1"/>
          <c:tx>
            <c:strRef>
              <c:f>Sheet1!$I$2</c:f>
              <c:strCache>
                <c:ptCount val="1"/>
                <c:pt idx="0">
                  <c:v>2014</c:v>
                </c:pt>
              </c:strCache>
            </c:strRef>
          </c:tx>
          <c:invertIfNegative val="0"/>
          <c:dPt>
            <c:idx val="5"/>
            <c:invertIfNegative val="0"/>
            <c:bubble3D val="0"/>
            <c:spPr>
              <a:ln>
                <a:solidFill>
                  <a:srgbClr val="FF0000"/>
                </a:solidFill>
              </a:ln>
            </c:spPr>
          </c:dPt>
          <c:dLbls>
            <c:txPr>
              <a:bodyPr/>
              <a:lstStyle/>
              <a:p>
                <a:pPr>
                  <a:defRPr sz="800">
                    <a:solidFill>
                      <a:schemeClr val="tx2">
                        <a:lumMod val="60000"/>
                        <a:lumOff val="40000"/>
                      </a:schemeClr>
                    </a:solidFill>
                  </a:defRPr>
                </a:pPr>
                <a:endParaRPr lang="ru-RU"/>
              </a:p>
            </c:txPr>
            <c:dLblPos val="outEnd"/>
            <c:showLegendKey val="0"/>
            <c:showVal val="1"/>
            <c:showCatName val="0"/>
            <c:showSerName val="0"/>
            <c:showPercent val="0"/>
            <c:showBubbleSize val="0"/>
            <c:showLeaderLines val="0"/>
          </c:dLbls>
          <c:cat>
            <c:strRef>
              <c:f>Sheet1!$G$3:$G$9</c:f>
              <c:strCache>
                <c:ptCount val="7"/>
                <c:pt idx="0">
                  <c:v>Brazil</c:v>
                </c:pt>
                <c:pt idx="1">
                  <c:v>Russia</c:v>
                </c:pt>
                <c:pt idx="2">
                  <c:v>India</c:v>
                </c:pt>
                <c:pt idx="3">
                  <c:v>China</c:v>
                </c:pt>
                <c:pt idx="4">
                  <c:v>South Africa</c:v>
                </c:pt>
                <c:pt idx="5">
                  <c:v>BRICS</c:v>
                </c:pt>
                <c:pt idx="6">
                  <c:v>US</c:v>
                </c:pt>
              </c:strCache>
            </c:strRef>
          </c:cat>
          <c:val>
            <c:numRef>
              <c:f>Sheet1!$I$3:$I$9</c:f>
              <c:numCache>
                <c:formatCode>0.0%</c:formatCode>
                <c:ptCount val="7"/>
                <c:pt idx="0">
                  <c:v>2.75E-2</c:v>
                </c:pt>
                <c:pt idx="1">
                  <c:v>2.887E-2</c:v>
                </c:pt>
                <c:pt idx="2">
                  <c:v>5.9560000000000002E-2</c:v>
                </c:pt>
                <c:pt idx="3">
                  <c:v>0.16055</c:v>
                </c:pt>
                <c:pt idx="4">
                  <c:v>6.8000000000000005E-3</c:v>
                </c:pt>
                <c:pt idx="5">
                  <c:v>0.28327999999999998</c:v>
                </c:pt>
                <c:pt idx="6">
                  <c:v>0.19242000000000001</c:v>
                </c:pt>
              </c:numCache>
            </c:numRef>
          </c:val>
        </c:ser>
        <c:dLbls>
          <c:showLegendKey val="0"/>
          <c:showVal val="0"/>
          <c:showCatName val="0"/>
          <c:showSerName val="0"/>
          <c:showPercent val="0"/>
          <c:showBubbleSize val="0"/>
        </c:dLbls>
        <c:gapWidth val="75"/>
        <c:overlap val="-25"/>
        <c:axId val="167345536"/>
        <c:axId val="84731008"/>
      </c:barChart>
      <c:catAx>
        <c:axId val="167345536"/>
        <c:scaling>
          <c:orientation val="minMax"/>
        </c:scaling>
        <c:delete val="0"/>
        <c:axPos val="b"/>
        <c:majorTickMark val="none"/>
        <c:minorTickMark val="none"/>
        <c:tickLblPos val="nextTo"/>
        <c:crossAx val="84731008"/>
        <c:crosses val="autoZero"/>
        <c:auto val="1"/>
        <c:lblAlgn val="ctr"/>
        <c:lblOffset val="100"/>
        <c:noMultiLvlLbl val="0"/>
      </c:catAx>
      <c:valAx>
        <c:axId val="84731008"/>
        <c:scaling>
          <c:orientation val="minMax"/>
        </c:scaling>
        <c:delete val="0"/>
        <c:axPos val="l"/>
        <c:numFmt formatCode="0%" sourceLinked="0"/>
        <c:majorTickMark val="none"/>
        <c:minorTickMark val="none"/>
        <c:tickLblPos val="nextTo"/>
        <c:crossAx val="167345536"/>
        <c:crosses val="autoZero"/>
        <c:crossBetween val="between"/>
      </c:valAx>
    </c:plotArea>
    <c:legend>
      <c:legendPos val="b"/>
      <c:legendEntry>
        <c:idx val="1"/>
        <c:txPr>
          <a:bodyPr/>
          <a:lstStyle/>
          <a:p>
            <a:pPr>
              <a:defRPr>
                <a:solidFill>
                  <a:schemeClr val="tx2">
                    <a:lumMod val="60000"/>
                    <a:lumOff val="40000"/>
                  </a:schemeClr>
                </a:solidFill>
              </a:defRPr>
            </a:pPr>
            <a:endParaRPr lang="ru-RU"/>
          </a:p>
        </c:txPr>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Inward FDI flows, annual, $M, 1998-2012</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Sheet2!$A$7</c:f>
              <c:strCache>
                <c:ptCount val="1"/>
                <c:pt idx="0">
                  <c:v>          Brazil</c:v>
                </c:pt>
              </c:strCache>
            </c:strRef>
          </c:tx>
          <c:invertIfNegative val="0"/>
          <c:cat>
            <c:strRef>
              <c:f>Sheet2!$B$6:$P$6</c:f>
              <c:strCach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strCache>
            </c:strRef>
          </c:cat>
          <c:val>
            <c:numRef>
              <c:f>Sheet2!$B$7:$P$7</c:f>
              <c:numCache>
                <c:formatCode>General</c:formatCode>
                <c:ptCount val="15"/>
                <c:pt idx="0">
                  <c:v>28855.609916419999</c:v>
                </c:pt>
                <c:pt idx="1">
                  <c:v>28578.4296149902</c:v>
                </c:pt>
                <c:pt idx="2">
                  <c:v>32779.239699750004</c:v>
                </c:pt>
                <c:pt idx="3">
                  <c:v>22457.353372251</c:v>
                </c:pt>
                <c:pt idx="4">
                  <c:v>16590.204193114001</c:v>
                </c:pt>
                <c:pt idx="5">
                  <c:v>10143.5246709901</c:v>
                </c:pt>
                <c:pt idx="6">
                  <c:v>18145.883459753401</c:v>
                </c:pt>
                <c:pt idx="7">
                  <c:v>15066.291734979</c:v>
                </c:pt>
                <c:pt idx="8">
                  <c:v>18822.207952937799</c:v>
                </c:pt>
                <c:pt idx="9">
                  <c:v>34584.901025141997</c:v>
                </c:pt>
                <c:pt idx="10">
                  <c:v>45058.156303766897</c:v>
                </c:pt>
                <c:pt idx="11">
                  <c:v>25948.5798</c:v>
                </c:pt>
                <c:pt idx="12">
                  <c:v>48506.489215130001</c:v>
                </c:pt>
                <c:pt idx="13">
                  <c:v>66660.140002800006</c:v>
                </c:pt>
                <c:pt idx="14">
                  <c:v>65271.851649550001</c:v>
                </c:pt>
              </c:numCache>
            </c:numRef>
          </c:val>
        </c:ser>
        <c:ser>
          <c:idx val="1"/>
          <c:order val="1"/>
          <c:tx>
            <c:strRef>
              <c:f>Sheet2!$A$8</c:f>
              <c:strCache>
                <c:ptCount val="1"/>
                <c:pt idx="0">
                  <c:v>          China</c:v>
                </c:pt>
              </c:strCache>
            </c:strRef>
          </c:tx>
          <c:invertIfNegative val="0"/>
          <c:cat>
            <c:strRef>
              <c:f>Sheet2!$B$6:$P$6</c:f>
              <c:strCach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strCache>
            </c:strRef>
          </c:cat>
          <c:val>
            <c:numRef>
              <c:f>Sheet2!$B$8:$P$8</c:f>
              <c:numCache>
                <c:formatCode>General</c:formatCode>
                <c:ptCount val="15"/>
                <c:pt idx="0">
                  <c:v>45462.75</c:v>
                </c:pt>
                <c:pt idx="1">
                  <c:v>40318.71</c:v>
                </c:pt>
                <c:pt idx="2">
                  <c:v>40714.81</c:v>
                </c:pt>
                <c:pt idx="3">
                  <c:v>46877.59</c:v>
                </c:pt>
                <c:pt idx="4">
                  <c:v>52742.86</c:v>
                </c:pt>
                <c:pt idx="5">
                  <c:v>53504.7</c:v>
                </c:pt>
                <c:pt idx="6">
                  <c:v>60630</c:v>
                </c:pt>
                <c:pt idx="7">
                  <c:v>72406</c:v>
                </c:pt>
                <c:pt idx="8">
                  <c:v>72715</c:v>
                </c:pt>
                <c:pt idx="9">
                  <c:v>83521</c:v>
                </c:pt>
                <c:pt idx="10">
                  <c:v>108312</c:v>
                </c:pt>
                <c:pt idx="11">
                  <c:v>95000</c:v>
                </c:pt>
                <c:pt idx="12">
                  <c:v>114734</c:v>
                </c:pt>
                <c:pt idx="13">
                  <c:v>123985</c:v>
                </c:pt>
                <c:pt idx="14">
                  <c:v>121080</c:v>
                </c:pt>
              </c:numCache>
            </c:numRef>
          </c:val>
        </c:ser>
        <c:ser>
          <c:idx val="2"/>
          <c:order val="2"/>
          <c:tx>
            <c:strRef>
              <c:f>Sheet2!$A$9</c:f>
              <c:strCache>
                <c:ptCount val="1"/>
                <c:pt idx="0">
                  <c:v>          India</c:v>
                </c:pt>
              </c:strCache>
            </c:strRef>
          </c:tx>
          <c:invertIfNegative val="0"/>
          <c:cat>
            <c:strRef>
              <c:f>Sheet2!$B$6:$P$6</c:f>
              <c:strCach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strCache>
            </c:strRef>
          </c:cat>
          <c:val>
            <c:numRef>
              <c:f>Sheet2!$B$9:$P$9</c:f>
              <c:numCache>
                <c:formatCode>General</c:formatCode>
                <c:ptCount val="15"/>
                <c:pt idx="0">
                  <c:v>2633</c:v>
                </c:pt>
                <c:pt idx="1">
                  <c:v>2168</c:v>
                </c:pt>
                <c:pt idx="2">
                  <c:v>3587.9897466934999</c:v>
                </c:pt>
                <c:pt idx="3">
                  <c:v>5477.6376244003004</c:v>
                </c:pt>
                <c:pt idx="4">
                  <c:v>5629.6710779403002</c:v>
                </c:pt>
                <c:pt idx="5">
                  <c:v>4321.0764372639997</c:v>
                </c:pt>
                <c:pt idx="6">
                  <c:v>5777.8072004677997</c:v>
                </c:pt>
                <c:pt idx="7">
                  <c:v>7621.7687074830001</c:v>
                </c:pt>
                <c:pt idx="8">
                  <c:v>20327.763921689799</c:v>
                </c:pt>
                <c:pt idx="9">
                  <c:v>25349.891773583098</c:v>
                </c:pt>
                <c:pt idx="10">
                  <c:v>47138.732841131598</c:v>
                </c:pt>
                <c:pt idx="11">
                  <c:v>35657.252408310698</c:v>
                </c:pt>
                <c:pt idx="12">
                  <c:v>21125.447777841</c:v>
                </c:pt>
                <c:pt idx="13">
                  <c:v>36190.398645825502</c:v>
                </c:pt>
                <c:pt idx="14">
                  <c:v>25542.8428136205</c:v>
                </c:pt>
              </c:numCache>
            </c:numRef>
          </c:val>
        </c:ser>
        <c:ser>
          <c:idx val="3"/>
          <c:order val="3"/>
          <c:tx>
            <c:strRef>
              <c:f>Sheet2!$A$10</c:f>
              <c:strCache>
                <c:ptCount val="1"/>
                <c:pt idx="0">
                  <c:v>          Russia</c:v>
                </c:pt>
              </c:strCache>
            </c:strRef>
          </c:tx>
          <c:invertIfNegative val="0"/>
          <c:cat>
            <c:strRef>
              <c:f>Sheet2!$B$6:$P$6</c:f>
              <c:strCach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strCache>
            </c:strRef>
          </c:cat>
          <c:val>
            <c:numRef>
              <c:f>Sheet2!$B$10:$P$10</c:f>
              <c:numCache>
                <c:formatCode>General</c:formatCode>
                <c:ptCount val="15"/>
                <c:pt idx="0">
                  <c:v>2761.26</c:v>
                </c:pt>
                <c:pt idx="1">
                  <c:v>3309.43</c:v>
                </c:pt>
                <c:pt idx="2">
                  <c:v>2714.23</c:v>
                </c:pt>
                <c:pt idx="3">
                  <c:v>2748.2856000000002</c:v>
                </c:pt>
                <c:pt idx="4">
                  <c:v>3474</c:v>
                </c:pt>
                <c:pt idx="5">
                  <c:v>7929</c:v>
                </c:pt>
                <c:pt idx="6">
                  <c:v>15403</c:v>
                </c:pt>
                <c:pt idx="7">
                  <c:v>15508</c:v>
                </c:pt>
                <c:pt idx="8">
                  <c:v>37595</c:v>
                </c:pt>
                <c:pt idx="9">
                  <c:v>56996.33</c:v>
                </c:pt>
                <c:pt idx="10">
                  <c:v>74783</c:v>
                </c:pt>
                <c:pt idx="11">
                  <c:v>36583</c:v>
                </c:pt>
                <c:pt idx="12">
                  <c:v>43168</c:v>
                </c:pt>
                <c:pt idx="13">
                  <c:v>55084</c:v>
                </c:pt>
                <c:pt idx="14">
                  <c:v>51416</c:v>
                </c:pt>
              </c:numCache>
            </c:numRef>
          </c:val>
        </c:ser>
        <c:ser>
          <c:idx val="4"/>
          <c:order val="4"/>
          <c:tx>
            <c:strRef>
              <c:f>Sheet2!$A$11</c:f>
              <c:strCache>
                <c:ptCount val="1"/>
                <c:pt idx="0">
                  <c:v>          South Africa</c:v>
                </c:pt>
              </c:strCache>
            </c:strRef>
          </c:tx>
          <c:invertIfNegative val="0"/>
          <c:cat>
            <c:strRef>
              <c:f>Sheet2!$B$6:$P$6</c:f>
              <c:strCach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strCache>
            </c:strRef>
          </c:cat>
          <c:val>
            <c:numRef>
              <c:f>Sheet2!$B$11:$P$11</c:f>
              <c:numCache>
                <c:formatCode>General</c:formatCode>
                <c:ptCount val="15"/>
                <c:pt idx="0">
                  <c:v>561.47662564120003</c:v>
                </c:pt>
                <c:pt idx="1">
                  <c:v>1503.2375914152999</c:v>
                </c:pt>
                <c:pt idx="2">
                  <c:v>887.34162076020004</c:v>
                </c:pt>
                <c:pt idx="3">
                  <c:v>6783.9213490716002</c:v>
                </c:pt>
                <c:pt idx="4">
                  <c:v>1569.1557486694001</c:v>
                </c:pt>
                <c:pt idx="5">
                  <c:v>733.66601672230001</c:v>
                </c:pt>
                <c:pt idx="6">
                  <c:v>798.02591146010002</c:v>
                </c:pt>
                <c:pt idx="7">
                  <c:v>6646.9266416431001</c:v>
                </c:pt>
                <c:pt idx="8">
                  <c:v>-526.76270573210002</c:v>
                </c:pt>
                <c:pt idx="9">
                  <c:v>5694.5280297954996</c:v>
                </c:pt>
                <c:pt idx="10">
                  <c:v>9006.2968907739996</c:v>
                </c:pt>
                <c:pt idx="11">
                  <c:v>5365.4437805579</c:v>
                </c:pt>
                <c:pt idx="12">
                  <c:v>1228.347188037</c:v>
                </c:pt>
                <c:pt idx="13">
                  <c:v>6004.2996062596003</c:v>
                </c:pt>
                <c:pt idx="14">
                  <c:v>4572.4893026405998</c:v>
                </c:pt>
              </c:numCache>
            </c:numRef>
          </c:val>
        </c:ser>
        <c:dLbls>
          <c:showLegendKey val="0"/>
          <c:showVal val="0"/>
          <c:showCatName val="0"/>
          <c:showSerName val="0"/>
          <c:showPercent val="0"/>
          <c:showBubbleSize val="0"/>
        </c:dLbls>
        <c:gapWidth val="55"/>
        <c:gapDepth val="55"/>
        <c:shape val="box"/>
        <c:axId val="84874368"/>
        <c:axId val="84875904"/>
        <c:axId val="0"/>
      </c:bar3DChart>
      <c:catAx>
        <c:axId val="84874368"/>
        <c:scaling>
          <c:orientation val="minMax"/>
        </c:scaling>
        <c:delete val="0"/>
        <c:axPos val="b"/>
        <c:majorTickMark val="none"/>
        <c:minorTickMark val="none"/>
        <c:tickLblPos val="nextTo"/>
        <c:crossAx val="84875904"/>
        <c:crosses val="autoZero"/>
        <c:auto val="1"/>
        <c:lblAlgn val="ctr"/>
        <c:lblOffset val="100"/>
        <c:noMultiLvlLbl val="0"/>
      </c:catAx>
      <c:valAx>
        <c:axId val="84875904"/>
        <c:scaling>
          <c:orientation val="minMax"/>
          <c:min val="0"/>
        </c:scaling>
        <c:delete val="0"/>
        <c:axPos val="l"/>
        <c:majorGridlines/>
        <c:numFmt formatCode="General" sourceLinked="1"/>
        <c:majorTickMark val="none"/>
        <c:minorTickMark val="none"/>
        <c:tickLblPos val="nextTo"/>
        <c:crossAx val="8487436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baseline="0">
                <a:effectLst/>
              </a:rPr>
              <a:t>Outward FDI flows, annual, $M, 1998-2012</a:t>
            </a:r>
            <a:endParaRPr lang="en-US" sz="1200">
              <a:effectLst/>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4472376808162138"/>
          <c:y val="0.16179012888752034"/>
          <c:w val="0.59043573500680835"/>
          <c:h val="0.75894881156615202"/>
        </c:manualLayout>
      </c:layout>
      <c:bar3DChart>
        <c:barDir val="col"/>
        <c:grouping val="stacked"/>
        <c:varyColors val="0"/>
        <c:ser>
          <c:idx val="0"/>
          <c:order val="0"/>
          <c:tx>
            <c:strRef>
              <c:f>Sheet2!$A$27</c:f>
              <c:strCache>
                <c:ptCount val="1"/>
                <c:pt idx="0">
                  <c:v>          Brazil</c:v>
                </c:pt>
              </c:strCache>
            </c:strRef>
          </c:tx>
          <c:invertIfNegative val="0"/>
          <c:cat>
            <c:strRef>
              <c:f>Sheet2!$B$26:$P$26</c:f>
              <c:strCach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strCache>
            </c:strRef>
          </c:cat>
          <c:val>
            <c:numRef>
              <c:f>Sheet2!$B$27:$P$27</c:f>
              <c:numCache>
                <c:formatCode>General</c:formatCode>
                <c:ptCount val="15"/>
                <c:pt idx="0">
                  <c:v>2854.0129999999999</c:v>
                </c:pt>
                <c:pt idx="1">
                  <c:v>1690.412</c:v>
                </c:pt>
                <c:pt idx="2">
                  <c:v>2281.587</c:v>
                </c:pt>
                <c:pt idx="3">
                  <c:v>-2257.5859999999998</c:v>
                </c:pt>
                <c:pt idx="4">
                  <c:v>2482.1080000000002</c:v>
                </c:pt>
                <c:pt idx="5">
                  <c:v>249.3</c:v>
                </c:pt>
                <c:pt idx="6">
                  <c:v>9806.9869999999992</c:v>
                </c:pt>
                <c:pt idx="7">
                  <c:v>2516.701</c:v>
                </c:pt>
                <c:pt idx="8">
                  <c:v>28202.491000000002</c:v>
                </c:pt>
                <c:pt idx="9">
                  <c:v>7066.6597518770996</c:v>
                </c:pt>
                <c:pt idx="10">
                  <c:v>20457.066030154401</c:v>
                </c:pt>
                <c:pt idx="11">
                  <c:v>-10084.226000000001</c:v>
                </c:pt>
                <c:pt idx="12">
                  <c:v>11587.565638120001</c:v>
                </c:pt>
                <c:pt idx="13">
                  <c:v>-1029.00125364</c:v>
                </c:pt>
                <c:pt idx="14">
                  <c:v>-2821.4022950399999</c:v>
                </c:pt>
              </c:numCache>
            </c:numRef>
          </c:val>
        </c:ser>
        <c:ser>
          <c:idx val="1"/>
          <c:order val="1"/>
          <c:tx>
            <c:strRef>
              <c:f>Sheet2!$A$28</c:f>
              <c:strCache>
                <c:ptCount val="1"/>
                <c:pt idx="0">
                  <c:v>          China</c:v>
                </c:pt>
              </c:strCache>
            </c:strRef>
          </c:tx>
          <c:invertIfNegative val="0"/>
          <c:cat>
            <c:strRef>
              <c:f>Sheet2!$B$26:$P$26</c:f>
              <c:strCach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strCache>
            </c:strRef>
          </c:cat>
          <c:val>
            <c:numRef>
              <c:f>Sheet2!$B$28:$P$28</c:f>
              <c:numCache>
                <c:formatCode>General</c:formatCode>
                <c:ptCount val="15"/>
                <c:pt idx="0">
                  <c:v>2633.8069999999998</c:v>
                </c:pt>
                <c:pt idx="1">
                  <c:v>1774.3130000000001</c:v>
                </c:pt>
                <c:pt idx="2">
                  <c:v>915.77700000000004</c:v>
                </c:pt>
                <c:pt idx="3">
                  <c:v>6885.3980000000001</c:v>
                </c:pt>
                <c:pt idx="4">
                  <c:v>2518.4070000000002</c:v>
                </c:pt>
                <c:pt idx="5">
                  <c:v>2854.65</c:v>
                </c:pt>
                <c:pt idx="6">
                  <c:v>5497.99</c:v>
                </c:pt>
                <c:pt idx="7">
                  <c:v>12261.17</c:v>
                </c:pt>
                <c:pt idx="8">
                  <c:v>21160</c:v>
                </c:pt>
                <c:pt idx="9">
                  <c:v>26510</c:v>
                </c:pt>
                <c:pt idx="10">
                  <c:v>55910</c:v>
                </c:pt>
                <c:pt idx="11">
                  <c:v>56530</c:v>
                </c:pt>
                <c:pt idx="12">
                  <c:v>68811</c:v>
                </c:pt>
                <c:pt idx="13">
                  <c:v>74654</c:v>
                </c:pt>
                <c:pt idx="14">
                  <c:v>84220</c:v>
                </c:pt>
              </c:numCache>
            </c:numRef>
          </c:val>
        </c:ser>
        <c:ser>
          <c:idx val="2"/>
          <c:order val="2"/>
          <c:tx>
            <c:strRef>
              <c:f>Sheet2!$A$29</c:f>
              <c:strCache>
                <c:ptCount val="1"/>
                <c:pt idx="0">
                  <c:v>          India</c:v>
                </c:pt>
              </c:strCache>
            </c:strRef>
          </c:tx>
          <c:invertIfNegative val="0"/>
          <c:cat>
            <c:strRef>
              <c:f>Sheet2!$B$26:$P$26</c:f>
              <c:strCach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strCache>
            </c:strRef>
          </c:cat>
          <c:val>
            <c:numRef>
              <c:f>Sheet2!$B$29:$P$29</c:f>
              <c:numCache>
                <c:formatCode>General</c:formatCode>
                <c:ptCount val="15"/>
                <c:pt idx="0">
                  <c:v>47</c:v>
                </c:pt>
                <c:pt idx="1">
                  <c:v>80</c:v>
                </c:pt>
                <c:pt idx="2">
                  <c:v>514.44541360339997</c:v>
                </c:pt>
                <c:pt idx="3">
                  <c:v>1397.4365495142999</c:v>
                </c:pt>
                <c:pt idx="4">
                  <c:v>1678.0394278578999</c:v>
                </c:pt>
                <c:pt idx="5">
                  <c:v>1875.7795175524</c:v>
                </c:pt>
                <c:pt idx="6">
                  <c:v>2175.3665883287999</c:v>
                </c:pt>
                <c:pt idx="7">
                  <c:v>2985.4875283447</c:v>
                </c:pt>
                <c:pt idx="8">
                  <c:v>14284.989074535901</c:v>
                </c:pt>
                <c:pt idx="9">
                  <c:v>17233.7569682092</c:v>
                </c:pt>
                <c:pt idx="10">
                  <c:v>21147.357097542401</c:v>
                </c:pt>
                <c:pt idx="11">
                  <c:v>16031.302357386499</c:v>
                </c:pt>
                <c:pt idx="12">
                  <c:v>15932.515122753501</c:v>
                </c:pt>
                <c:pt idx="13">
                  <c:v>12456.1339604247</c:v>
                </c:pt>
                <c:pt idx="14">
                  <c:v>8582.7475990507992</c:v>
                </c:pt>
              </c:numCache>
            </c:numRef>
          </c:val>
        </c:ser>
        <c:ser>
          <c:idx val="3"/>
          <c:order val="3"/>
          <c:tx>
            <c:strRef>
              <c:f>Sheet2!$A$30</c:f>
              <c:strCache>
                <c:ptCount val="1"/>
                <c:pt idx="0">
                  <c:v>          Russia</c:v>
                </c:pt>
              </c:strCache>
            </c:strRef>
          </c:tx>
          <c:invertIfNegative val="0"/>
          <c:cat>
            <c:strRef>
              <c:f>Sheet2!$B$26:$P$26</c:f>
              <c:strCach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strCache>
            </c:strRef>
          </c:cat>
          <c:val>
            <c:numRef>
              <c:f>Sheet2!$B$30:$P$30</c:f>
              <c:numCache>
                <c:formatCode>General</c:formatCode>
                <c:ptCount val="15"/>
                <c:pt idx="0">
                  <c:v>1269.752</c:v>
                </c:pt>
                <c:pt idx="1">
                  <c:v>2207.62</c:v>
                </c:pt>
                <c:pt idx="2">
                  <c:v>3176.7750000000001</c:v>
                </c:pt>
                <c:pt idx="3">
                  <c:v>2532.5783999999999</c:v>
                </c:pt>
                <c:pt idx="4">
                  <c:v>3532.6491999999998</c:v>
                </c:pt>
                <c:pt idx="5">
                  <c:v>9724</c:v>
                </c:pt>
                <c:pt idx="6">
                  <c:v>13782.026599999999</c:v>
                </c:pt>
                <c:pt idx="7">
                  <c:v>17880</c:v>
                </c:pt>
                <c:pt idx="8">
                  <c:v>29993</c:v>
                </c:pt>
                <c:pt idx="9">
                  <c:v>45879</c:v>
                </c:pt>
                <c:pt idx="10">
                  <c:v>55663</c:v>
                </c:pt>
                <c:pt idx="11">
                  <c:v>43281</c:v>
                </c:pt>
                <c:pt idx="12">
                  <c:v>52616</c:v>
                </c:pt>
                <c:pt idx="13">
                  <c:v>66851</c:v>
                </c:pt>
                <c:pt idx="14">
                  <c:v>51058</c:v>
                </c:pt>
              </c:numCache>
            </c:numRef>
          </c:val>
        </c:ser>
        <c:ser>
          <c:idx val="4"/>
          <c:order val="4"/>
          <c:tx>
            <c:strRef>
              <c:f>Sheet2!$A$31</c:f>
              <c:strCache>
                <c:ptCount val="1"/>
                <c:pt idx="0">
                  <c:v>          South Africa</c:v>
                </c:pt>
              </c:strCache>
            </c:strRef>
          </c:tx>
          <c:invertIfNegative val="0"/>
          <c:cat>
            <c:strRef>
              <c:f>Sheet2!$B$26:$P$26</c:f>
              <c:strCach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strCache>
            </c:strRef>
          </c:cat>
          <c:val>
            <c:numRef>
              <c:f>Sheet2!$B$31:$P$31</c:f>
              <c:numCache>
                <c:formatCode>General</c:formatCode>
                <c:ptCount val="15"/>
                <c:pt idx="0">
                  <c:v>1780.1196755591</c:v>
                </c:pt>
                <c:pt idx="1">
                  <c:v>1580.9856157971001</c:v>
                </c:pt>
                <c:pt idx="2">
                  <c:v>270.61181613960002</c:v>
                </c:pt>
                <c:pt idx="3">
                  <c:v>-3177.8868603049</c:v>
                </c:pt>
                <c:pt idx="4">
                  <c:v>-397.98115874659999</c:v>
                </c:pt>
                <c:pt idx="5">
                  <c:v>565.12112098880004</c:v>
                </c:pt>
                <c:pt idx="6">
                  <c:v>1350.0647863907</c:v>
                </c:pt>
                <c:pt idx="7">
                  <c:v>930.28668114410004</c:v>
                </c:pt>
                <c:pt idx="8">
                  <c:v>6063.3089912944997</c:v>
                </c:pt>
                <c:pt idx="9">
                  <c:v>2965.9236717499002</c:v>
                </c:pt>
                <c:pt idx="10">
                  <c:v>-3133.6775924137</c:v>
                </c:pt>
                <c:pt idx="11">
                  <c:v>1151.4491359706001</c:v>
                </c:pt>
                <c:pt idx="12">
                  <c:v>-75.670448367899994</c:v>
                </c:pt>
                <c:pt idx="13">
                  <c:v>-256.84707476659997</c:v>
                </c:pt>
                <c:pt idx="14">
                  <c:v>4368.7126749549998</c:v>
                </c:pt>
              </c:numCache>
            </c:numRef>
          </c:val>
        </c:ser>
        <c:dLbls>
          <c:showLegendKey val="0"/>
          <c:showVal val="0"/>
          <c:showCatName val="0"/>
          <c:showSerName val="0"/>
          <c:showPercent val="0"/>
          <c:showBubbleSize val="0"/>
        </c:dLbls>
        <c:gapWidth val="150"/>
        <c:shape val="box"/>
        <c:axId val="84896000"/>
        <c:axId val="84910080"/>
        <c:axId val="0"/>
      </c:bar3DChart>
      <c:catAx>
        <c:axId val="84896000"/>
        <c:scaling>
          <c:orientation val="minMax"/>
        </c:scaling>
        <c:delete val="0"/>
        <c:axPos val="b"/>
        <c:majorTickMark val="out"/>
        <c:minorTickMark val="none"/>
        <c:tickLblPos val="nextTo"/>
        <c:crossAx val="84910080"/>
        <c:crosses val="autoZero"/>
        <c:auto val="1"/>
        <c:lblAlgn val="ctr"/>
        <c:lblOffset val="100"/>
        <c:noMultiLvlLbl val="0"/>
      </c:catAx>
      <c:valAx>
        <c:axId val="84910080"/>
        <c:scaling>
          <c:orientation val="minMax"/>
        </c:scaling>
        <c:delete val="0"/>
        <c:axPos val="l"/>
        <c:majorGridlines/>
        <c:numFmt formatCode="General" sourceLinked="1"/>
        <c:majorTickMark val="out"/>
        <c:minorTickMark val="none"/>
        <c:tickLblPos val="nextTo"/>
        <c:crossAx val="84896000"/>
        <c:crosses val="autoZero"/>
        <c:crossBetween val="between"/>
      </c:valAx>
    </c:plotArea>
    <c:legend>
      <c:legendPos val="r"/>
      <c:layout>
        <c:manualLayout>
          <c:xMode val="edge"/>
          <c:yMode val="edge"/>
          <c:x val="0.73419943110126307"/>
          <c:y val="0.36094992017048455"/>
          <c:w val="0.23440935014702111"/>
          <c:h val="0.34068314784674264"/>
        </c:manualLayout>
      </c:layout>
      <c:overlay val="0"/>
      <c:txPr>
        <a:bodyPr/>
        <a:lstStyle/>
        <a:p>
          <a:pPr>
            <a:defRPr sz="80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B252B-5319-4E52-95F3-796E3E71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5020</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Tecolote Research Inc.</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Brancato, Ekaterina     WDC Tecolote</dc:creator>
  <cp:lastModifiedBy>Victoria777</cp:lastModifiedBy>
  <cp:revision>2</cp:revision>
  <dcterms:created xsi:type="dcterms:W3CDTF">2014-04-16T18:54:00Z</dcterms:created>
  <dcterms:modified xsi:type="dcterms:W3CDTF">2014-04-16T18:54:00Z</dcterms:modified>
</cp:coreProperties>
</file>