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84" w:rsidRDefault="00695884" w:rsidP="0069588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Кузнецов Вячеслав Сергеевич, д.э.н.</w:t>
      </w:r>
    </w:p>
    <w:p w:rsidR="00695884" w:rsidRDefault="00695884" w:rsidP="0069588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профессор кафедры Международных</w:t>
      </w:r>
    </w:p>
    <w:p w:rsidR="00695884" w:rsidRDefault="00695884" w:rsidP="0069588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 МГИМО, почt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тный профессор</w:t>
      </w:r>
    </w:p>
    <w:p w:rsidR="00695884" w:rsidRDefault="00695884" w:rsidP="0069588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МГИМО</w:t>
      </w:r>
      <w:r>
        <w:rPr>
          <w:rFonts w:ascii="Times New Roman" w:hAnsi="Times New Roman"/>
          <w:color w:val="000000"/>
          <w:sz w:val="28"/>
          <w:szCs w:val="28"/>
        </w:rPr>
        <w:t xml:space="preserve"> МИД России</w:t>
      </w:r>
    </w:p>
    <w:p w:rsidR="00695884" w:rsidRDefault="00695884" w:rsidP="00695884">
      <w:pPr>
        <w:pStyle w:val="a3"/>
        <w:spacing w:line="384" w:lineRule="atLeast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95884" w:rsidRDefault="00695884" w:rsidP="00695884">
      <w:pPr>
        <w:pStyle w:val="a3"/>
        <w:spacing w:line="384" w:lineRule="atLeast"/>
        <w:jc w:val="center"/>
        <w:rPr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Проблема асимметрии функции регулирования Международным валютным фондом Ямайской валютной системы и  её эволюции в новую мировую «финансовую архитектуру».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МВФ является главным глобальным регулятором мировой экономики. Её регулирование осуществляется через воздействие на мировую валютно-финансовую систему. Непосредственным объектом регулирования выступают валютно-финансовые системы стран – членов.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Всю свою деятельность, в том числе функцию глобального регулятора, Фонд строит с учётом целей, изложенных в ст.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своего устава.    Последняя цель в варианте устава на русском языке изложена с искажением оригинального варианта. В нём говорится, что кредиты Фонда якобы создают состояние уверенности у правительства страны – заёмщика.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МВФ как глобальный регулятор через инструмент кредитной деятельности выгодно отличается от межправительственных региональных и субрегиональных регуляторов, также выдающих своим странам-членам валютные кредиты на финансирование внешних дисбалансов. Речь идёт об источниках валютных кредитов, созданных на региональном уровне, к которым относится Латиноамериканский резервный фонд, Арабский валютный фонд, а также только что созданные в рамках ЕАЭС Евразийский фонд стабилизации и развития(ЕФСР) и Пул условных валютных ресурсов стран БРИКС.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С этой спецификой МВФ и его преимуществом Россия столкнулась вплотную, когда в конце 90-х и начале 2010-х гг. остро встал вопрос о необходимости реструктуризации российского внешнего долга.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В истории МВФ как глобального регулятора мировой экономики через экономические программы важной вехой стало введение режима свободно плавающего курса валют. Это поставило МВФ перед необходимостью борьбы за своё выживание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 В результате МВФ стал дублировать кредитную деятельность Всемирного банка, что вызвало резкую критику в Конгрессе США. Однако валютно-финансовый кризис в странах Юго-Восточной Азии  привел к тому,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что в рамках «Группы 7» был достигнут консенсус, что МВФ нужен как глобальный регулятор.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В дополнение к уставным целям на передний план в рамках «Группы 7» перед МВФ была поставлена цель предотвращения и урегулирования мировых финансовых кризисов.</w:t>
      </w:r>
    </w:p>
    <w:p w:rsidR="00695884" w:rsidRDefault="00695884" w:rsidP="00695884">
      <w:pPr>
        <w:pStyle w:val="a3"/>
        <w:ind w:firstLine="708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Инструментами регулирующего воздействия МВФ на платёжные балансы стран-членов, их экономику в целом выступают его кредиты и надзор над экономической и валютно-финансовой политикой стран. Это воздействие на  глобальном уровне носит асимметричный характер. Это объясняется тем, что объектами регулирующего воздействия Фонда выступают только страны, прибегающие к его кредитам. Это, в основном, развивающиеся страны и в последние годы также более слабые в экономическом отношении и поражённые долговым кризисом страны еврозоны – Греция и ранее Ирландия и Португалия. 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В условиях долгового кризиса в странах еврозоны МВФ выступает главным глобальным регулятором. Участвуя в трёхстороннем финансовом пакете(Еврокомиссия, МВФ и ЕЦБ), он призван отслеживать выполнение программы и принятие мер правительством Греции по стабилизации валютно-финансового положения.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Помимо главного инструмента регулирующего воздействия на мировую валютную систему и мировую экономику через стабилизационные экономические программы стран – заёмщиц МВФ обладает другим важным инструментом. Это надзор над валютной системой через механизм ежегодных консультаций со странами-членами по их политике валютного курса, а также их валютно-финансовой и экономической политике.   Важным инструментом регулирующего воздействия на мировой валютный   порядок, мировую экономику и международные финансы выступают кодексы и стандарты надлежащей практики правительств в различных сферах экономической валютно-финансовой политики.  Важными сферами мировой экономики, которые имеют прямое отношение к функции МВФ  как глобального регулятора, можно считать также регулирование международной ликвидности, конвертируемости валют, либерализацию странами валютных режимов, валютную интеграцию стран и мировую долларизацию.</w:t>
      </w:r>
    </w:p>
    <w:p w:rsidR="00695884" w:rsidRDefault="00695884" w:rsidP="00695884">
      <w:pPr>
        <w:pStyle w:val="a3"/>
        <w:ind w:firstLine="708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Потребность в международных ликвидных активах приобретает значительные размеры в условиях свободы трансграничного движения капиталов, вводимой во все большем количестве стран, увеличивается потребность в кредитах МВФ превентивного характера типа гибкой кредитной линии(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flexible credit line</w:t>
      </w:r>
      <w:r>
        <w:rPr>
          <w:rFonts w:ascii="Times New Roman" w:hAnsi="Times New Roman"/>
          <w:color w:val="000000"/>
          <w:sz w:val="28"/>
          <w:szCs w:val="28"/>
        </w:rPr>
        <w:t>). Однако МВФ во второй половине 2010-х годов переживает серьёзную проблему нехватки своих кредитных ресурсов.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>
        <w:rPr>
          <w:rFonts w:ascii="Times New Roman" w:hAnsi="Times New Roman"/>
          <w:color w:val="000000"/>
          <w:sz w:val="28"/>
          <w:szCs w:val="28"/>
        </w:rPr>
        <w:t>-й всеобщий пересмотр квот и увеличение квотных ресурсов МВФ в два раза пока не завершены, поскольку это увеличение капитала не ратифицировано до сих пор Конгрессом США.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затрудняет кредитную деятельность  Фонда, в том числе выполнение им функции глобального регулятора. Как известно, заёмные ресурсы МВФ выдаёт в дополнение к квотным, и они таким образом также приобретают условный характер.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Затягивание Конгрессом США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>
        <w:rPr>
          <w:rFonts w:ascii="Times New Roman" w:hAnsi="Times New Roman"/>
          <w:color w:val="000000"/>
          <w:sz w:val="28"/>
          <w:szCs w:val="28"/>
        </w:rPr>
        <w:t>-го всеобщего пересмотра квот является ярким свидетельством проявления монополярности современного мирового валютного миропорядка. Предстоящее изменение формулы квоты стран в МВФ может создать условия для существенного увеличения квот ряда стран, и прежде всего Китая, и изменения расстановки сил в этой глобальной организации. В этой связи большой интерес представляет проблема утраты Соединёнными Штатами возможности монопольного торпедирования принятия решений по наиболее важным вопросам, имеющим характер реформы.</w:t>
      </w:r>
    </w:p>
    <w:p w:rsidR="00695884" w:rsidRDefault="00695884" w:rsidP="00695884">
      <w:pPr>
        <w:pStyle w:val="a3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Стремление КНР включить свою валюту в корзину СДР, поддержанное президентом Францией и Россией в 2011г., в случае его реализации  не изменит коренным образом облик валютного миропорядка. Оно игнорирует историю мировой валютной системы. в части эволюции мировых денежных функций СДР и национальных валют.</w:t>
      </w:r>
    </w:p>
    <w:p w:rsidR="00695884" w:rsidRDefault="00695884" w:rsidP="00695884">
      <w:pPr>
        <w:pStyle w:val="a3"/>
        <w:ind w:firstLine="708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 с момента вступления в силу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-ой поправки к уставу МВФ в мире установлен  мультивалютный стандарт в противовес золотодолларовому стандарту Бреттон-Вудской системы. Однако фактически продолжает функционировать монополярный долларовый миропорядок, а ямайская мировая валютная система так же асимметрична, как и Бреттон-Вудская система. Но если в Бреттон-Вудском порядке МВФ держал в своих руках систему твёрдых долларовых паритетов и фиксированных валютных курсов, то в условиях Ямайского порядка, а, точнее, – непорядка стали возможными скачки курсов валют стран, какие испытал на себе российский рубль  в декабре 2014г.   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84"/>
    <w:rsid w:val="003A79CF"/>
    <w:rsid w:val="006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958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8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958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5463</Characters>
  <Application>Microsoft Macintosh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2015-10-15T13:59:00Z</dcterms:created>
  <dcterms:modified xsi:type="dcterms:W3CDTF">2015-10-15T14:00:00Z</dcterms:modified>
</cp:coreProperties>
</file>