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7994" w14:textId="77777777" w:rsidR="000E72E7" w:rsidRDefault="000E72E7" w:rsidP="000E72E7">
      <w:pPr>
        <w:spacing w:after="0"/>
      </w:pPr>
    </w:p>
    <w:p w14:paraId="72731EEB" w14:textId="77777777" w:rsidR="0065297F" w:rsidRPr="0065297F" w:rsidRDefault="000E72E7" w:rsidP="0065297F">
      <w:pPr>
        <w:spacing w:after="0" w:line="240" w:lineRule="auto"/>
        <w:rPr>
          <w:sz w:val="28"/>
          <w:szCs w:val="28"/>
        </w:rPr>
      </w:pPr>
      <w:r w:rsidRPr="0065297F">
        <w:rPr>
          <w:sz w:val="28"/>
          <w:szCs w:val="28"/>
        </w:rPr>
        <w:t xml:space="preserve">Немчинова Тамара Сергеевна, </w:t>
      </w:r>
    </w:p>
    <w:p w14:paraId="45761CD3" w14:textId="77777777" w:rsidR="000E72E7" w:rsidRPr="0065297F" w:rsidRDefault="000E72E7" w:rsidP="0065297F">
      <w:pPr>
        <w:spacing w:after="0" w:line="240" w:lineRule="auto"/>
        <w:rPr>
          <w:sz w:val="28"/>
          <w:szCs w:val="28"/>
        </w:rPr>
      </w:pPr>
      <w:r w:rsidRPr="0065297F">
        <w:rPr>
          <w:sz w:val="28"/>
          <w:szCs w:val="28"/>
        </w:rPr>
        <w:t xml:space="preserve">кандидат политических наук, </w:t>
      </w:r>
    </w:p>
    <w:p w14:paraId="5F3CA371" w14:textId="77777777" w:rsidR="000E72E7" w:rsidRPr="0065297F" w:rsidRDefault="000E72E7" w:rsidP="0065297F">
      <w:pPr>
        <w:spacing w:after="0" w:line="240" w:lineRule="auto"/>
        <w:rPr>
          <w:sz w:val="28"/>
          <w:szCs w:val="28"/>
        </w:rPr>
      </w:pPr>
      <w:r w:rsidRPr="0065297F">
        <w:rPr>
          <w:sz w:val="28"/>
          <w:szCs w:val="28"/>
        </w:rPr>
        <w:t xml:space="preserve">доцент кафедры мировой политики </w:t>
      </w:r>
    </w:p>
    <w:p w14:paraId="34570942" w14:textId="77777777" w:rsidR="000E72E7" w:rsidRPr="0065297F" w:rsidRDefault="000E72E7" w:rsidP="0065297F">
      <w:pPr>
        <w:spacing w:after="0" w:line="240" w:lineRule="auto"/>
        <w:rPr>
          <w:sz w:val="28"/>
          <w:szCs w:val="28"/>
        </w:rPr>
      </w:pPr>
      <w:r w:rsidRPr="0065297F">
        <w:rPr>
          <w:sz w:val="28"/>
          <w:szCs w:val="28"/>
        </w:rPr>
        <w:t>Санкт-Петербургского государственного университета</w:t>
      </w:r>
    </w:p>
    <w:p w14:paraId="0A0AEF56" w14:textId="77777777" w:rsidR="000E72E7" w:rsidRDefault="000E72E7" w:rsidP="000E72E7">
      <w:pPr>
        <w:spacing w:after="0"/>
        <w:jc w:val="right"/>
        <w:rPr>
          <w:sz w:val="28"/>
          <w:szCs w:val="28"/>
        </w:rPr>
      </w:pPr>
    </w:p>
    <w:p w14:paraId="608C7F38" w14:textId="77777777" w:rsidR="00AA45B6" w:rsidRDefault="00AA45B6" w:rsidP="000E72E7">
      <w:pPr>
        <w:spacing w:after="0"/>
        <w:jc w:val="right"/>
      </w:pPr>
      <w:bookmarkStart w:id="0" w:name="_GoBack"/>
      <w:bookmarkEnd w:id="0"/>
    </w:p>
    <w:p w14:paraId="08F98467" w14:textId="77777777" w:rsidR="0065297F" w:rsidRPr="000E72E7" w:rsidRDefault="0065297F" w:rsidP="0065297F">
      <w:pPr>
        <w:spacing w:after="0"/>
        <w:jc w:val="center"/>
        <w:rPr>
          <w:b/>
          <w:sz w:val="28"/>
          <w:szCs w:val="28"/>
        </w:rPr>
      </w:pPr>
      <w:r w:rsidRPr="000E72E7">
        <w:rPr>
          <w:b/>
          <w:sz w:val="28"/>
          <w:szCs w:val="28"/>
        </w:rPr>
        <w:t xml:space="preserve">Образовательное пространство постсоветских государств: </w:t>
      </w:r>
    </w:p>
    <w:p w14:paraId="67591CF6" w14:textId="77777777" w:rsidR="0065297F" w:rsidRPr="000E72E7" w:rsidRDefault="0065297F" w:rsidP="0065297F">
      <w:pPr>
        <w:spacing w:after="0"/>
        <w:jc w:val="center"/>
        <w:rPr>
          <w:b/>
          <w:sz w:val="28"/>
          <w:szCs w:val="28"/>
        </w:rPr>
      </w:pPr>
      <w:r w:rsidRPr="000E72E7">
        <w:rPr>
          <w:b/>
          <w:sz w:val="28"/>
          <w:szCs w:val="28"/>
        </w:rPr>
        <w:t>от гуманитарного к геополитическому</w:t>
      </w:r>
    </w:p>
    <w:p w14:paraId="60B8F663" w14:textId="77777777" w:rsidR="0065297F" w:rsidRPr="0065297F" w:rsidRDefault="0065297F" w:rsidP="0065297F">
      <w:pPr>
        <w:spacing w:after="0"/>
        <w:jc w:val="center"/>
      </w:pPr>
    </w:p>
    <w:p w14:paraId="32D118D2" w14:textId="77777777" w:rsidR="00BD2AAB" w:rsidRPr="0065297F" w:rsidRDefault="00BD2AAB" w:rsidP="00BD2AAB">
      <w:pPr>
        <w:spacing w:after="0"/>
        <w:ind w:firstLine="709"/>
        <w:jc w:val="both"/>
        <w:rPr>
          <w:sz w:val="28"/>
          <w:szCs w:val="28"/>
        </w:rPr>
      </w:pPr>
      <w:r w:rsidRPr="0065297F">
        <w:rPr>
          <w:sz w:val="28"/>
          <w:szCs w:val="28"/>
        </w:rPr>
        <w:t xml:space="preserve">После 1991 года постсоветское пространство стало зоной конфликта интересов ведущих стран мира, поэтому попытки России сохранить своё влияние сталкивается с интересами крупнейших мировых держав: ЕС и США – на западе, Турции, Ирана и Китая – на востоке. </w:t>
      </w:r>
      <w:r w:rsidR="00072160" w:rsidRPr="0065297F">
        <w:rPr>
          <w:sz w:val="28"/>
          <w:szCs w:val="28"/>
        </w:rPr>
        <w:t>Определяющим фактором</w:t>
      </w:r>
      <w:r w:rsidRPr="0065297F">
        <w:rPr>
          <w:sz w:val="28"/>
          <w:szCs w:val="28"/>
        </w:rPr>
        <w:t xml:space="preserve"> российского геополитического влияния в постсоветском пространстве остаётся то, что там сегодня проживает около 65 млн. русских и русскоязычных соотечественников, во многом предопределяя активность России в ближнем зарубежье. </w:t>
      </w:r>
    </w:p>
    <w:p w14:paraId="1AB1F680" w14:textId="77777777" w:rsidR="000E72E7" w:rsidRPr="0065297F" w:rsidRDefault="000E72E7" w:rsidP="00BD2AAB">
      <w:pPr>
        <w:spacing w:after="0"/>
        <w:ind w:firstLine="709"/>
        <w:jc w:val="both"/>
        <w:rPr>
          <w:sz w:val="28"/>
          <w:szCs w:val="28"/>
        </w:rPr>
      </w:pPr>
      <w:r w:rsidRPr="0065297F">
        <w:rPr>
          <w:sz w:val="28"/>
          <w:szCs w:val="28"/>
        </w:rPr>
        <w:t xml:space="preserve">Возникновение суверенных государств на просторах </w:t>
      </w:r>
      <w:r w:rsidR="00C828BB" w:rsidRPr="0065297F">
        <w:rPr>
          <w:sz w:val="28"/>
          <w:szCs w:val="28"/>
        </w:rPr>
        <w:t>бывшего Союза приве</w:t>
      </w:r>
      <w:r w:rsidR="00D04C03" w:rsidRPr="0065297F">
        <w:rPr>
          <w:sz w:val="28"/>
          <w:szCs w:val="28"/>
        </w:rPr>
        <w:t xml:space="preserve">ло к исчезновению единого образовательного пространства. </w:t>
      </w:r>
      <w:r w:rsidR="00BD2AAB" w:rsidRPr="0065297F">
        <w:rPr>
          <w:sz w:val="28"/>
          <w:szCs w:val="28"/>
        </w:rPr>
        <w:t>Распалась единая образовательная среда</w:t>
      </w:r>
      <w:r w:rsidR="00987CBB" w:rsidRPr="0065297F">
        <w:rPr>
          <w:sz w:val="28"/>
          <w:szCs w:val="28"/>
        </w:rPr>
        <w:t xml:space="preserve"> многомиллионного государства</w:t>
      </w:r>
      <w:r w:rsidR="000659CA" w:rsidRPr="0065297F">
        <w:rPr>
          <w:sz w:val="28"/>
          <w:szCs w:val="28"/>
        </w:rPr>
        <w:t>, сумевшего выстроить одну из наиболее эффективных моделей образовательной системы, обеспечившей за весьма короткий исторический отрезок времени ликвидацию безграмотности, всеобщее среднее образова</w:t>
      </w:r>
      <w:r w:rsidR="005F1263" w:rsidRPr="0065297F">
        <w:rPr>
          <w:sz w:val="28"/>
          <w:szCs w:val="28"/>
        </w:rPr>
        <w:t>ние, конкурентно способное высше</w:t>
      </w:r>
      <w:r w:rsidR="000659CA" w:rsidRPr="0065297F">
        <w:rPr>
          <w:sz w:val="28"/>
          <w:szCs w:val="28"/>
        </w:rPr>
        <w:t>е образование, прорывы в научной и технической сферах</w:t>
      </w:r>
      <w:r w:rsidR="00987CBB" w:rsidRPr="0065297F">
        <w:rPr>
          <w:sz w:val="28"/>
          <w:szCs w:val="28"/>
        </w:rPr>
        <w:t>. Образовательная система каждого из суверенных государств начала трансформироваться в соответствии с цивилизационной ориентацией политического руководства и элит соответствующих государств.</w:t>
      </w:r>
      <w:r w:rsidR="00434C74" w:rsidRPr="0065297F">
        <w:rPr>
          <w:sz w:val="28"/>
          <w:szCs w:val="28"/>
        </w:rPr>
        <w:t xml:space="preserve"> </w:t>
      </w:r>
    </w:p>
    <w:p w14:paraId="384A478B" w14:textId="77777777" w:rsidR="00480CCE" w:rsidRPr="0065297F" w:rsidRDefault="0023293E" w:rsidP="00480CCE">
      <w:pPr>
        <w:spacing w:after="0"/>
        <w:ind w:firstLine="709"/>
        <w:jc w:val="both"/>
        <w:rPr>
          <w:sz w:val="28"/>
          <w:szCs w:val="28"/>
        </w:rPr>
      </w:pPr>
      <w:r w:rsidRPr="0065297F">
        <w:rPr>
          <w:sz w:val="28"/>
          <w:szCs w:val="28"/>
        </w:rPr>
        <w:t>Априорная функция образования как социального института – социализация и гуманизация новых поколений сограждан, передача «опыта поколений», в том числе и цивилизационной ориентации общества</w:t>
      </w:r>
      <w:r w:rsidR="00072160" w:rsidRPr="0065297F">
        <w:rPr>
          <w:sz w:val="28"/>
          <w:szCs w:val="28"/>
        </w:rPr>
        <w:t>,</w:t>
      </w:r>
      <w:r w:rsidRPr="0065297F">
        <w:rPr>
          <w:sz w:val="28"/>
          <w:szCs w:val="28"/>
        </w:rPr>
        <w:t xml:space="preserve"> подрастающим поколениям. Однако, распад некогда единого образовательного пространства, поиск новых идентичностей национальными элитами, выстраивание новой (или сохранение существовавшей) системы и структуры образования</w:t>
      </w:r>
      <w:r w:rsidR="00480CCE" w:rsidRPr="0065297F">
        <w:rPr>
          <w:sz w:val="28"/>
          <w:szCs w:val="28"/>
        </w:rPr>
        <w:t xml:space="preserve">, привело к принципиальному изменению категорий оценки образования как социального института: от гуманитарного к геополитическому… Анализ деятельности ведущих мировых игроков на поле образовательного пространства постсоветских государств показывает, что сегодня сотрудничество в области образования перестает быть исключительно гуманитарным, а приобретает все более явственные черты </w:t>
      </w:r>
      <w:r w:rsidR="00480CCE" w:rsidRPr="0065297F">
        <w:rPr>
          <w:sz w:val="28"/>
          <w:szCs w:val="28"/>
        </w:rPr>
        <w:lastRenderedPageBreak/>
        <w:t>активного инструмента «мягкой силы» в реализации геополитических интересов.</w:t>
      </w:r>
    </w:p>
    <w:p w14:paraId="14A77E6F" w14:textId="77777777" w:rsidR="00432AA8" w:rsidRPr="0065297F" w:rsidRDefault="00432AA8" w:rsidP="00480CCE">
      <w:pPr>
        <w:spacing w:after="0"/>
        <w:ind w:firstLine="709"/>
        <w:jc w:val="both"/>
        <w:rPr>
          <w:sz w:val="28"/>
          <w:szCs w:val="28"/>
        </w:rPr>
      </w:pPr>
      <w:r w:rsidRPr="0065297F">
        <w:rPr>
          <w:sz w:val="28"/>
          <w:szCs w:val="28"/>
        </w:rPr>
        <w:t>Открытость образовательных систем значительной части постсоветских государств привела к тому, что стратегический интерес к реализации со</w:t>
      </w:r>
      <w:r w:rsidR="009E1625" w:rsidRPr="0065297F">
        <w:rPr>
          <w:sz w:val="28"/>
          <w:szCs w:val="28"/>
        </w:rPr>
        <w:t xml:space="preserve">бственных геостратегических устремлений стали проявлять многие внешние акторы первого: </w:t>
      </w:r>
      <w:r w:rsidR="009E1625" w:rsidRPr="0065297F">
        <w:rPr>
          <w:color w:val="000000"/>
          <w:sz w:val="28"/>
          <w:szCs w:val="28"/>
          <w:shd w:val="clear" w:color="auto" w:fill="FFFFFF"/>
        </w:rPr>
        <w:t>США, Турция, Германия, Великобритания, Франция, Китай, Южная Корея, Япония, арабские страны, Иран; и второго порядка: Польша, Венгрия, Чехия, Румыния. Наряду с этим, активность России в сфере влияния в образовательной сфере</w:t>
      </w:r>
      <w:r w:rsidR="007A4D41" w:rsidRPr="0065297F">
        <w:rPr>
          <w:color w:val="000000"/>
          <w:sz w:val="28"/>
          <w:szCs w:val="28"/>
          <w:shd w:val="clear" w:color="auto" w:fill="FFFFFF"/>
        </w:rPr>
        <w:t xml:space="preserve"> постсоветских государств не увеличилась, а принципиально сократилась. </w:t>
      </w:r>
      <w:r w:rsidR="005B5DBE" w:rsidRPr="0065297F">
        <w:rPr>
          <w:color w:val="000000"/>
          <w:sz w:val="28"/>
          <w:szCs w:val="28"/>
          <w:shd w:val="clear" w:color="auto" w:fill="FFFFFF"/>
        </w:rPr>
        <w:t>Только в последние несколько лет сфера образования стала рассматриваться в России как область применения «мягкой силы» в публичном дискурсе постсоветских государств.</w:t>
      </w:r>
      <w:r w:rsidR="0024575E" w:rsidRPr="0065297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8AA211E" w14:textId="77777777" w:rsidR="00480CCE" w:rsidRPr="0065297F" w:rsidRDefault="009E1625" w:rsidP="00480CCE">
      <w:pPr>
        <w:spacing w:after="0"/>
        <w:ind w:firstLine="709"/>
        <w:jc w:val="both"/>
        <w:rPr>
          <w:sz w:val="28"/>
          <w:szCs w:val="28"/>
        </w:rPr>
      </w:pPr>
      <w:r w:rsidRPr="0065297F">
        <w:rPr>
          <w:sz w:val="28"/>
          <w:szCs w:val="28"/>
        </w:rPr>
        <w:t>Исследование</w:t>
      </w:r>
      <w:r w:rsidR="00480CCE" w:rsidRPr="0065297F">
        <w:rPr>
          <w:sz w:val="28"/>
          <w:szCs w:val="28"/>
        </w:rPr>
        <w:t xml:space="preserve"> систем образования </w:t>
      </w:r>
      <w:r w:rsidR="009E5BA9" w:rsidRPr="0065297F">
        <w:rPr>
          <w:sz w:val="28"/>
          <w:szCs w:val="28"/>
        </w:rPr>
        <w:t xml:space="preserve">постсоветских государств позволяют условно разделить </w:t>
      </w:r>
      <w:r w:rsidRPr="0065297F">
        <w:rPr>
          <w:sz w:val="28"/>
          <w:szCs w:val="28"/>
        </w:rPr>
        <w:t xml:space="preserve">их </w:t>
      </w:r>
      <w:r w:rsidR="009E5BA9" w:rsidRPr="0065297F">
        <w:rPr>
          <w:sz w:val="28"/>
          <w:szCs w:val="28"/>
        </w:rPr>
        <w:t xml:space="preserve">на </w:t>
      </w:r>
      <w:r w:rsidR="00254930" w:rsidRPr="0065297F">
        <w:rPr>
          <w:sz w:val="28"/>
          <w:szCs w:val="28"/>
        </w:rPr>
        <w:t>четыре</w:t>
      </w:r>
      <w:r w:rsidR="009E5BA9" w:rsidRPr="0065297F">
        <w:rPr>
          <w:sz w:val="28"/>
          <w:szCs w:val="28"/>
        </w:rPr>
        <w:t xml:space="preserve"> основные группы:</w:t>
      </w:r>
    </w:p>
    <w:p w14:paraId="31C56FF7" w14:textId="77777777" w:rsidR="00254930" w:rsidRPr="0065297F" w:rsidRDefault="0073634B" w:rsidP="00480CC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930" w:rsidRPr="0065297F">
        <w:rPr>
          <w:sz w:val="28"/>
          <w:szCs w:val="28"/>
        </w:rPr>
        <w:t>государства сохраняющие (с соответствующей современным требованиям модернизацией) «советскую» систему образования – РФ, Казахстан, Армения, Беларусь, Кыргызстан, Украина, Таджикистан;</w:t>
      </w:r>
    </w:p>
    <w:p w14:paraId="7E651824" w14:textId="77777777" w:rsidR="00254930" w:rsidRPr="0065297F" w:rsidRDefault="0073634B" w:rsidP="00480CC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930" w:rsidRPr="0065297F">
        <w:rPr>
          <w:sz w:val="28"/>
          <w:szCs w:val="28"/>
        </w:rPr>
        <w:t>государства с умеренным уровнем «формальной вестернизации» системы образования - Молдавия, Грузия, Азербайджан;</w:t>
      </w:r>
    </w:p>
    <w:p w14:paraId="075C0CE0" w14:textId="77777777" w:rsidR="00254930" w:rsidRPr="0065297F" w:rsidRDefault="0073634B" w:rsidP="00480CC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930" w:rsidRPr="0065297F">
        <w:rPr>
          <w:sz w:val="28"/>
          <w:szCs w:val="28"/>
        </w:rPr>
        <w:t>государства</w:t>
      </w:r>
      <w:r w:rsidR="005F1263" w:rsidRPr="0065297F">
        <w:rPr>
          <w:sz w:val="28"/>
          <w:szCs w:val="28"/>
        </w:rPr>
        <w:t>,</w:t>
      </w:r>
      <w:r w:rsidR="00254930" w:rsidRPr="0065297F">
        <w:rPr>
          <w:sz w:val="28"/>
          <w:szCs w:val="28"/>
        </w:rPr>
        <w:t xml:space="preserve"> активно интегрирующиеся в «усреднено европейскую» систему образования</w:t>
      </w:r>
      <w:r w:rsidR="005F1263" w:rsidRPr="0065297F">
        <w:rPr>
          <w:sz w:val="28"/>
          <w:szCs w:val="28"/>
        </w:rPr>
        <w:t>,</w:t>
      </w:r>
      <w:r w:rsidR="00254930" w:rsidRPr="0065297F">
        <w:rPr>
          <w:sz w:val="28"/>
          <w:szCs w:val="28"/>
        </w:rPr>
        <w:t xml:space="preserve"> – Латвия, Литва, Эстония;</w:t>
      </w:r>
    </w:p>
    <w:p w14:paraId="7166A126" w14:textId="77777777" w:rsidR="00D04C03" w:rsidRPr="0065297F" w:rsidRDefault="0073634B" w:rsidP="00432AA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930" w:rsidRPr="0065297F">
        <w:rPr>
          <w:sz w:val="28"/>
          <w:szCs w:val="28"/>
        </w:rPr>
        <w:t>государства</w:t>
      </w:r>
      <w:r w:rsidR="005F1263" w:rsidRPr="0065297F">
        <w:rPr>
          <w:sz w:val="28"/>
          <w:szCs w:val="28"/>
        </w:rPr>
        <w:t>,</w:t>
      </w:r>
      <w:r w:rsidR="00254930" w:rsidRPr="0065297F">
        <w:rPr>
          <w:sz w:val="28"/>
          <w:szCs w:val="28"/>
        </w:rPr>
        <w:t xml:space="preserve"> заимствующие «американскую» модель системы образования (школа – колледж – ВУЗ)</w:t>
      </w:r>
      <w:r w:rsidR="005F1263" w:rsidRPr="0065297F">
        <w:rPr>
          <w:sz w:val="28"/>
          <w:szCs w:val="28"/>
        </w:rPr>
        <w:t>,</w:t>
      </w:r>
      <w:r w:rsidR="00254930" w:rsidRPr="0065297F">
        <w:rPr>
          <w:sz w:val="28"/>
          <w:szCs w:val="28"/>
        </w:rPr>
        <w:t xml:space="preserve"> – Узбекистан, Туркменистан.</w:t>
      </w:r>
    </w:p>
    <w:p w14:paraId="09411C5B" w14:textId="77777777" w:rsidR="00432AA8" w:rsidRPr="0065297F" w:rsidRDefault="00432AA8" w:rsidP="00432AA8">
      <w:pPr>
        <w:spacing w:after="0"/>
        <w:ind w:firstLine="709"/>
        <w:jc w:val="both"/>
        <w:rPr>
          <w:sz w:val="28"/>
          <w:szCs w:val="28"/>
        </w:rPr>
      </w:pPr>
    </w:p>
    <w:sectPr w:rsidR="00432AA8" w:rsidRPr="0065297F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2E7"/>
    <w:rsid w:val="00007993"/>
    <w:rsid w:val="000659CA"/>
    <w:rsid w:val="00072160"/>
    <w:rsid w:val="000E72E7"/>
    <w:rsid w:val="000F5C41"/>
    <w:rsid w:val="0023293E"/>
    <w:rsid w:val="0024310C"/>
    <w:rsid w:val="0024575E"/>
    <w:rsid w:val="00254930"/>
    <w:rsid w:val="002A1469"/>
    <w:rsid w:val="003321B0"/>
    <w:rsid w:val="00432AA8"/>
    <w:rsid w:val="00434C74"/>
    <w:rsid w:val="00457DDC"/>
    <w:rsid w:val="00480CCE"/>
    <w:rsid w:val="00485359"/>
    <w:rsid w:val="004938BA"/>
    <w:rsid w:val="005B5DBE"/>
    <w:rsid w:val="005F1263"/>
    <w:rsid w:val="00633316"/>
    <w:rsid w:val="0065297F"/>
    <w:rsid w:val="0073634B"/>
    <w:rsid w:val="007A4D41"/>
    <w:rsid w:val="00987CBB"/>
    <w:rsid w:val="009B444B"/>
    <w:rsid w:val="009E1625"/>
    <w:rsid w:val="009E5BA9"/>
    <w:rsid w:val="009F6A89"/>
    <w:rsid w:val="00AA45B6"/>
    <w:rsid w:val="00B42CAD"/>
    <w:rsid w:val="00BD2AAB"/>
    <w:rsid w:val="00C2180C"/>
    <w:rsid w:val="00C828BB"/>
    <w:rsid w:val="00D04C03"/>
    <w:rsid w:val="00DE7331"/>
    <w:rsid w:val="00E80452"/>
    <w:rsid w:val="00F340AC"/>
    <w:rsid w:val="00F94021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BDB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538</Words>
  <Characters>3069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v.dobysheva</dc:creator>
  <cp:lastModifiedBy>Marina</cp:lastModifiedBy>
  <cp:revision>25</cp:revision>
  <dcterms:created xsi:type="dcterms:W3CDTF">2015-09-28T20:15:00Z</dcterms:created>
  <dcterms:modified xsi:type="dcterms:W3CDTF">2015-10-17T20:34:00Z</dcterms:modified>
</cp:coreProperties>
</file>