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20" w:rsidRDefault="00667C8F">
      <w:p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Усоскин</w:t>
      </w:r>
      <w:proofErr w:type="spellEnd"/>
      <w:r>
        <w:rPr>
          <w:rFonts w:ascii="Times New Roman" w:hAnsi="Times New Roman" w:cs="Times New Roman"/>
          <w:lang w:val="ru-RU"/>
        </w:rPr>
        <w:t xml:space="preserve"> Сергей Владимирович</w:t>
      </w:r>
    </w:p>
    <w:p w:rsidR="00D16620" w:rsidRDefault="00667C8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Старший юрист АБ «</w:t>
      </w:r>
      <w:proofErr w:type="spellStart"/>
      <w:r>
        <w:rPr>
          <w:rFonts w:ascii="Times New Roman" w:hAnsi="Times New Roman" w:cs="Times New Roman"/>
          <w:lang w:val="ru-RU"/>
        </w:rPr>
        <w:t>Иванян</w:t>
      </w:r>
      <w:proofErr w:type="spellEnd"/>
      <w:r>
        <w:rPr>
          <w:rFonts w:ascii="Times New Roman" w:hAnsi="Times New Roman" w:cs="Times New Roman"/>
          <w:lang w:val="ru-RU"/>
        </w:rPr>
        <w:t xml:space="preserve"> и партнеры», </w:t>
      </w:r>
    </w:p>
    <w:p w:rsidR="00D16620" w:rsidRDefault="00667C8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Аспирант кафедры международного права </w:t>
      </w:r>
    </w:p>
    <w:p w:rsidR="00D16620" w:rsidRDefault="00667C8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Юридического факультета им. М.В. Ломоносова</w:t>
      </w:r>
    </w:p>
    <w:p w:rsidR="00D16620" w:rsidRPr="00667C8F" w:rsidRDefault="00D16620">
      <w:pPr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D16620" w:rsidRDefault="00D16620">
      <w:pPr>
        <w:rPr>
          <w:lang w:val="ru-RU"/>
        </w:rPr>
      </w:pPr>
    </w:p>
    <w:p w:rsidR="00D16620" w:rsidRDefault="00667C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были ли инвестиции и инвесторы? Являлись ли активы,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которыми владели истцы в делах ЮКОСА, защищаемыми инвестициями, а их владельцы – защищаемыми инвесторами по соответствующим соглашениям и Договору об Энергетической Хартии</w:t>
      </w:r>
    </w:p>
    <w:p w:rsidR="00D16620" w:rsidRDefault="00D1662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6620" w:rsidRDefault="00667C8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Одним из наиболее болезненных и дискуссионных вопросов в современном международном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инвестиционном праве является сфера действия предусмотренных в нем гарантий. Она определяется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через субъектов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которые могут пользоваться соответствующими гарантиями – инвесторов, и имущества и проектов, подлежащих защите – инвестиций.  Лаконичные определе</w:t>
      </w:r>
      <w:r>
        <w:rPr>
          <w:rFonts w:ascii="Times New Roman" w:hAnsi="Times New Roman" w:cs="Times New Roman"/>
          <w:sz w:val="28"/>
          <w:szCs w:val="28"/>
          <w:lang w:val="ru-RU"/>
        </w:rPr>
        <w:t>ния данных понятий в большинстве двухсторонних и многосторонних соглашений о защите инвестиций оставляют многие вопросы открытыми.</w:t>
      </w:r>
    </w:p>
    <w:p w:rsidR="00D16620" w:rsidRDefault="00667C8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Иски, предъявленные акционерами ОАО «НК «ЮКОС», заставили обратить внимание на целый ряд таких вопросов:</w:t>
      </w:r>
    </w:p>
    <w:p w:rsidR="00D16620" w:rsidRDefault="00667C8F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Является ли инвестиц</w:t>
      </w:r>
      <w:r>
        <w:rPr>
          <w:rFonts w:ascii="Times New Roman" w:hAnsi="Times New Roman" w:cs="Times New Roman"/>
          <w:sz w:val="28"/>
          <w:szCs w:val="28"/>
          <w:lang w:val="ru-RU"/>
        </w:rPr>
        <w:t>ией приобретение акций компании спекулятивным фондом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vulture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fund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с целью игры на их нестабильной цене и возможного предъявления требований к государству регистрации 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Rosinvestco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v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Russia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)?</w:t>
      </w:r>
    </w:p>
    <w:p w:rsidR="00D16620" w:rsidRDefault="00667C8F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Является ли инвестором владелец американских депозитарных распис</w:t>
      </w:r>
      <w:r>
        <w:rPr>
          <w:rFonts w:ascii="Times New Roman" w:hAnsi="Times New Roman" w:cs="Times New Roman"/>
          <w:sz w:val="28"/>
          <w:szCs w:val="28"/>
          <w:lang w:val="ru-RU"/>
        </w:rPr>
        <w:t>ок (далее – «АДР») на акции российской компании, а такие расписки – инвестицией в Россию 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Quasar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de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Valores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et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al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. v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Russia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)?</w:t>
      </w:r>
    </w:p>
    <w:p w:rsidR="00D16620" w:rsidRDefault="00667C8F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Могут ли признаваться иностранными инвесторами компании, зарегистрированные в оффшорных юрисдикциях, принадлежащие российским граж</w:t>
      </w:r>
      <w:r>
        <w:rPr>
          <w:rFonts w:ascii="Times New Roman" w:hAnsi="Times New Roman" w:cs="Times New Roman"/>
          <w:sz w:val="28"/>
          <w:szCs w:val="28"/>
          <w:lang w:val="ru-RU"/>
        </w:rPr>
        <w:t>данам?</w:t>
      </w:r>
    </w:p>
    <w:p w:rsidR="00D16620" w:rsidRDefault="00667C8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докладе будет проведен критический анализ решений арбитражей, которые ответили утвердительно на все вышеуказанные вопросы, а также приведены возможные контраргументы.</w:t>
      </w:r>
    </w:p>
    <w:p w:rsidR="00D16620" w:rsidRDefault="00667C8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Существуют весомые аргументы в пользу отказа в защите спекулятивных инвестиций. </w:t>
      </w:r>
      <w:r>
        <w:rPr>
          <w:rFonts w:ascii="Times New Roman" w:hAnsi="Times New Roman" w:cs="Times New Roman"/>
          <w:sz w:val="28"/>
          <w:szCs w:val="28"/>
          <w:lang w:val="ru-RU"/>
        </w:rPr>
        <w:t>Во-первых, обычное значение слова «инвестиция» не охватывает спекулятивные вложения. Во-вторых, приобретение имущества с целью предъявления требования к государству-инвестору может рассматриваться в качестве недобросовестного поведения, влекущего отказ в 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ащите. </w:t>
      </w:r>
    </w:p>
    <w:p w:rsidR="00D16620" w:rsidRDefault="00667C8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Равным образом признание АДР инвестицией в Российскую Федерацию представляется крайне спорным. Приобретая иностранные ценные бумаги, которыми являются АДР, иностранный инвестор делает сознательный выбор в пользу нероссийской юрисдикции. Функциональ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ная связь между АДР и акциями дает основания для того, чтобы утверждать, что инвестор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опосредованно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владеет российским имуществом. Однако имущество, которое принадлежит лицу опосредованно не может рассматриваться как инвестиция на основании большинства рос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сийских соглашений о поощрении и защите капиталовложений. </w:t>
      </w:r>
    </w:p>
    <w:p w:rsidR="00D16620" w:rsidRDefault="00667C8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Признание иностранными инвесторами по Договору об Энергетической Хартии холдинговых компаний, контролируемых российскими гражданами. При толковании положений ДЭХ об отказе в привилегиях представляе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тся необходимым учитывать цель как всего договора (привлечение иностранных инвестиций), так и данного положения (лишение защиты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только формально отвечающих признакам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инвестора). С учетом этих обстоятельств, государство-ответчик должно иметь воз</w:t>
      </w:r>
      <w:r>
        <w:rPr>
          <w:rFonts w:ascii="Times New Roman" w:hAnsi="Times New Roman" w:cs="Times New Roman"/>
          <w:sz w:val="28"/>
          <w:szCs w:val="28"/>
          <w:lang w:val="ru-RU"/>
        </w:rPr>
        <w:t>можность отказать в привилегиях контролируемым собственными гражданами компаниям.</w:t>
      </w:r>
    </w:p>
    <w:p w:rsidR="00D16620" w:rsidRDefault="00D16620">
      <w:pPr>
        <w:rPr>
          <w:lang w:val="ru-RU"/>
        </w:rPr>
      </w:pPr>
    </w:p>
    <w:sectPr w:rsidR="00D16620">
      <w:footerReference w:type="even" r:id="rId7"/>
      <w:footerReference w:type="default" r:id="rId8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620" w:rsidRDefault="00667C8F">
      <w:r>
        <w:separator/>
      </w:r>
    </w:p>
  </w:endnote>
  <w:endnote w:type="continuationSeparator" w:id="0">
    <w:p w:rsidR="00D16620" w:rsidRDefault="0066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20" w:rsidRDefault="00667C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6620" w:rsidRDefault="00D1662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20" w:rsidRDefault="00667C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D16620" w:rsidRDefault="00D1662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620" w:rsidRDefault="00667C8F">
      <w:r>
        <w:separator/>
      </w:r>
    </w:p>
  </w:footnote>
  <w:footnote w:type="continuationSeparator" w:id="0">
    <w:p w:rsidR="00D16620" w:rsidRDefault="00667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2296C"/>
    <w:multiLevelType w:val="multilevel"/>
    <w:tmpl w:val="34C48FC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D006F"/>
    <w:multiLevelType w:val="hybridMultilevel"/>
    <w:tmpl w:val="68E2350A"/>
    <w:lvl w:ilvl="0" w:tplc="C78605D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88E062">
      <w:start w:val="1"/>
      <w:numFmt w:val="lowerRoman"/>
      <w:lvlText w:val="%2."/>
      <w:lvlJc w:val="right"/>
      <w:pPr>
        <w:ind w:left="126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07D0A"/>
    <w:multiLevelType w:val="multilevel"/>
    <w:tmpl w:val="B1327CC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260" w:hanging="18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20"/>
    <w:rsid w:val="00667C8F"/>
    <w:rsid w:val="00D1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9BAEDA-9EEC-4FC1-AD02-BBA849D0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styleId="a7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2642</Characters>
  <Application>Microsoft Office Word</Application>
  <DocSecurity>0</DocSecurity>
  <Lines>22</Lines>
  <Paragraphs>6</Paragraphs>
  <ScaleCrop>false</ScaleCrop>
  <Company>
  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WWW</cp:lastModifiedBy>
  <cp:revision>2</cp:revision>
  <dcterms:created xsi:type="dcterms:W3CDTF">2015-10-12T09:00:00Z</dcterms:created>
  <dcterms:modified xsi:type="dcterms:W3CDTF">2015-10-23T19:17:00Z</dcterms:modified>
  <cp:category/>
  <cp:version>0</cp:version>
</cp:coreProperties>
</file>