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8D" w:rsidRDefault="00D75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Рачков Илья Витальевич, </w:t>
      </w:r>
      <w:proofErr w:type="spellStart"/>
      <w:proofErr w:type="gramStart"/>
      <w:r>
        <w:rPr>
          <w:rFonts w:ascii="Times New Roman" w:hAnsi="Times New Roman" w:cs="Times New Roman"/>
        </w:rPr>
        <w:t>к.ю.н</w:t>
      </w:r>
      <w:proofErr w:type="spellEnd"/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br/>
        <w:t>магистр</w:t>
      </w:r>
      <w:proofErr w:type="gramEnd"/>
      <w:r>
        <w:rPr>
          <w:rFonts w:ascii="Times New Roman" w:hAnsi="Times New Roman" w:cs="Times New Roman"/>
        </w:rPr>
        <w:t xml:space="preserve"> права (</w:t>
      </w:r>
      <w:r>
        <w:rPr>
          <w:rFonts w:ascii="Times New Roman" w:hAnsi="Times New Roman" w:cs="Times New Roman"/>
          <w:lang w:val="de-DE"/>
        </w:rPr>
        <w:t>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de-DE"/>
        </w:rPr>
        <w:t>M</w:t>
      </w:r>
      <w:r>
        <w:rPr>
          <w:rFonts w:ascii="Times New Roman" w:hAnsi="Times New Roman" w:cs="Times New Roman"/>
        </w:rPr>
        <w:t>., Франкфурт-на-Майне),</w:t>
      </w:r>
      <w:r>
        <w:rPr>
          <w:rFonts w:ascii="Times New Roman" w:hAnsi="Times New Roman" w:cs="Times New Roman"/>
        </w:rPr>
        <w:br/>
        <w:t xml:space="preserve">доцент кафедры международного права </w:t>
      </w:r>
    </w:p>
    <w:p w:rsidR="00804F8D" w:rsidRDefault="00D75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МГИМО (У) МИД России</w:t>
      </w:r>
    </w:p>
    <w:p w:rsidR="00804F8D" w:rsidRDefault="00804F8D">
      <w:pPr>
        <w:rPr>
          <w:rFonts w:ascii="Times New Roman" w:hAnsi="Times New Roman" w:cs="Times New Roman"/>
          <w:b/>
        </w:rPr>
      </w:pPr>
    </w:p>
    <w:p w:rsidR="00804F8D" w:rsidRDefault="00D754AD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Временное применение ДЭХ в споре бывших акционеров ЮКОСа против РФ</w:t>
      </w:r>
    </w:p>
    <w:p w:rsidR="00804F8D" w:rsidRDefault="00D754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(тезисы </w:t>
      </w:r>
      <w:r>
        <w:rPr>
          <w:rFonts w:ascii="Times New Roman" w:hAnsi="Times New Roman" w:cs="Times New Roman"/>
          <w:b/>
        </w:rPr>
        <w:t>выступления)</w:t>
      </w:r>
      <w:bookmarkEnd w:id="0"/>
    </w:p>
    <w:p w:rsidR="00804F8D" w:rsidRDefault="00804F8D">
      <w:pPr>
        <w:jc w:val="center"/>
        <w:rPr>
          <w:rFonts w:ascii="Times New Roman" w:hAnsi="Times New Roman" w:cs="Times New Roman"/>
          <w:b/>
        </w:rPr>
      </w:pP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отмечает Б.И. Осминин (ведущий научный сотрудник отдела международного публичного права Институт законодательства и сравнительного правоведения при Правительстве РФ, кандидат юридических наук)</w:t>
      </w:r>
      <w:r>
        <w:rPr>
          <w:rStyle w:val="ab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, за последние 20 лет Россия неоднократно ста</w:t>
      </w:r>
      <w:r>
        <w:rPr>
          <w:rFonts w:ascii="Times New Roman" w:hAnsi="Times New Roman" w:cs="Times New Roman"/>
        </w:rPr>
        <w:t>лкивалась с серьезными проблемами, возникшими в результате временного применения международных договоров. В подтверждение этого автор приводит 2 примера: Соглашение между СССР и США (т.н. договор Бейкера – Шеварднадзе) о линии разграничения морских простра</w:t>
      </w:r>
      <w:r>
        <w:rPr>
          <w:rFonts w:ascii="Times New Roman" w:hAnsi="Times New Roman" w:cs="Times New Roman"/>
        </w:rPr>
        <w:t>нств, подписанное 1 июня 1990 г. (как предусмотрено в договоренности, оформленной путем обмена нотами при его подписании, положения Соглашения выполняются до вступления Соглашения в силу, начиная с 15 июня 1990 г.) и международное арбитражное разбирательст</w:t>
      </w:r>
      <w:r>
        <w:rPr>
          <w:rFonts w:ascii="Times New Roman" w:hAnsi="Times New Roman" w:cs="Times New Roman"/>
        </w:rPr>
        <w:t>во по делу ЮКОСА.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Временное применение международных договоров предусмотрено как в международном праве (в частности, в ст. 25 Венской конвенции о праве международных договоров 1969 г.), так и в национальном праве многих государств (включая Россию: ст. 23 Ф</w:t>
      </w:r>
      <w:r>
        <w:rPr>
          <w:rFonts w:ascii="Times New Roman" w:hAnsi="Times New Roman" w:cs="Times New Roman"/>
        </w:rPr>
        <w:t>едерального закона от 15 июля 1995 г. № 101-ФЗ «О международных договорах Российской Федерации»).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t xml:space="preserve">В своем </w:t>
      </w:r>
      <w:r>
        <w:rPr>
          <w:rFonts w:ascii="Times New Roman" w:hAnsi="Times New Roman" w:cs="Times New Roman"/>
        </w:rPr>
        <w:t>постановлении от 27 марта 2012 г. № 8-П по делу о проверке конституционности пункта 1 статьи 23 ФЗ «О международных договорах РФ» в связи с жалобой гр</w:t>
      </w:r>
      <w:r>
        <w:rPr>
          <w:rFonts w:ascii="Times New Roman" w:hAnsi="Times New Roman" w:cs="Times New Roman"/>
        </w:rPr>
        <w:t xml:space="preserve">ажданина И.Д. Ушакова Конституционный Суд РФ указал: возможность применения международного договора до его вступления в силу, если это предусмотрено в договоре или если об этом была достигнута договоренность со сторонами, подписавшими договор, вытекает из </w:t>
      </w:r>
      <w:r>
        <w:rPr>
          <w:rFonts w:ascii="Times New Roman" w:hAnsi="Times New Roman" w:cs="Times New Roman"/>
        </w:rPr>
        <w:t>пункта 1 статьи 25 Венской конвенции о ПМД. Этот пункт, по существу, воспроизведен в ст. 23 ФЗ о МД РФ. Временное применение международного договора используется Российской Федерацией в практике межгосударственного общения, как правило, в случаях, когда пр</w:t>
      </w:r>
      <w:r>
        <w:rPr>
          <w:rFonts w:ascii="Times New Roman" w:hAnsi="Times New Roman" w:cs="Times New Roman"/>
        </w:rPr>
        <w:t xml:space="preserve">едмет договора представляет особый интерес для его участников, </w:t>
      </w:r>
      <w:r>
        <w:rPr>
          <w:rFonts w:ascii="Times New Roman" w:hAnsi="Times New Roman" w:cs="Times New Roman"/>
        </w:rPr>
        <w:lastRenderedPageBreak/>
        <w:t>вследствие чего они заинтересованы в том, чтобы ввести его в действие, не дожидаясь ратификации и вступления в силу.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временно применяла Договор к Энергетической хартии (ДЭХ) с 17.12.1994</w:t>
      </w:r>
      <w:r>
        <w:rPr>
          <w:rFonts w:ascii="Times New Roman" w:hAnsi="Times New Roman" w:cs="Times New Roman"/>
        </w:rPr>
        <w:t xml:space="preserve"> г. по 19.10.2009 г. ДЭХ подписали 53 государства. Из них участниками ДЭХ являются 49 государств, Беларусь временно применяет ДЭХ, а еще три государства – Австралия, Норвегия и Россия не ратифицировали договор. В апреле 2015 г. Италия заявила о своем выход</w:t>
      </w:r>
      <w:r>
        <w:rPr>
          <w:rFonts w:ascii="Times New Roman" w:hAnsi="Times New Roman" w:cs="Times New Roman"/>
        </w:rPr>
        <w:t>е из ДЭХ.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ДЭХ регулирует отношения государств в 5 сферах. Одна из них – защита и поощрение иностранных инвестиций в энергетику при помощи сочетания национального режима и режима наибольшего благоприятствования (в зависимости от того, какой из них наиболее </w:t>
      </w:r>
      <w:r>
        <w:rPr>
          <w:rFonts w:ascii="Times New Roman" w:hAnsi="Times New Roman" w:cs="Times New Roman"/>
        </w:rPr>
        <w:t>благоприятен).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так и не ратифицировала ДЭХ из-за 3 «камней преткновения»: реэкспорт энергоресурсов, транзит энергоресурсов через территорию нашей страны и механизм защиты иностранных инвесторов в международном инвестиционном арбитраже. 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20.08.2009 г</w:t>
      </w:r>
      <w:r>
        <w:rPr>
          <w:rFonts w:ascii="Times New Roman" w:hAnsi="Times New Roman" w:cs="Times New Roman"/>
        </w:rPr>
        <w:t>. Россия уведомила Секретариат ДЭХ о своем намерении не становиться участником ДЭХ. Тем не менее, положения ДЭХ, посвященные защите иностранных инвестиций, продолжают применяться еще в течение 20 лет (т.е. до 2029 г.).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Положения относительно временного при</w:t>
      </w:r>
      <w:r>
        <w:rPr>
          <w:rFonts w:ascii="Times New Roman" w:hAnsi="Times New Roman" w:cs="Times New Roman"/>
        </w:rPr>
        <w:t>менения содержатся в статье 45 ДЭХ. Ключевым является п. 1 ст. 45: «Каждая подписавшая сторона соглашается временно применять настоящий Договор впредь до его вступления в силу для такой подписавшей стороны в соответствии со Статьей 44, в той степени, в кот</w:t>
      </w:r>
      <w:r>
        <w:rPr>
          <w:rFonts w:ascii="Times New Roman" w:hAnsi="Times New Roman" w:cs="Times New Roman"/>
        </w:rPr>
        <w:t xml:space="preserve">орой такое временное применение не противоречит ее конституции, законам или нормативным актам.» 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Опираясь на эту норму, Россия заявила, что, во-первых, временное применение ДЭХ противоречит ее Конституции и федеральным законам. Во-вторых, поскольку ДЭХ так</w:t>
      </w:r>
      <w:r>
        <w:rPr>
          <w:rFonts w:ascii="Times New Roman" w:hAnsi="Times New Roman" w:cs="Times New Roman"/>
        </w:rPr>
        <w:t xml:space="preserve"> и не вступил в силу для России, его временное применение Россией никогда не имело место.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 2 ст. 45 ДЭХ давал России право заявить при подписании ДЭХ Депозитарию о том, что Россия не согласна временно применять ДЭХ. Однако в 1994 г. Россия не воспользова</w:t>
      </w:r>
      <w:r>
        <w:rPr>
          <w:rFonts w:ascii="Times New Roman" w:hAnsi="Times New Roman" w:cs="Times New Roman"/>
        </w:rPr>
        <w:t>лась этим правом.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того, из текста п. 3а) ст. 45 ДЭХ следует, что если Россия направила Депозитарию свое письменное уведомление о намерении не становиться </w:t>
      </w:r>
      <w:r>
        <w:rPr>
          <w:rFonts w:ascii="Times New Roman" w:hAnsi="Times New Roman" w:cs="Times New Roman"/>
        </w:rPr>
        <w:lastRenderedPageBreak/>
        <w:t>Договаривающейся Стороной ДЭХ (что Россия и сделала в августе 2009 г.), то она тем самым признаё</w:t>
      </w:r>
      <w:r>
        <w:rPr>
          <w:rFonts w:ascii="Times New Roman" w:hAnsi="Times New Roman" w:cs="Times New Roman"/>
        </w:rPr>
        <w:t>т, что временно применяла его.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ст. 26 ДЭХ («Разрешение споров между инвестором и Договаривающейся Стороной») у иностранного инвестора, права которого, закрепленные в ДЭХ, нарушены принимающим государством, есть право обратиться своему выбору за ра</w:t>
      </w:r>
      <w:r>
        <w:rPr>
          <w:rFonts w:ascii="Times New Roman" w:hAnsi="Times New Roman" w:cs="Times New Roman"/>
        </w:rPr>
        <w:t>зрешением спора в национальные суды данного государства либо в международный инвестиционный арбитраж (3 варианта: МЦУИС или Дополнительная процедура; Арбитражный регламент ЮНСИТРАЛ; Арбитражный институт Стокгольмской торговой палаты).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Против России подано </w:t>
      </w:r>
      <w:r>
        <w:rPr>
          <w:rFonts w:ascii="Times New Roman" w:hAnsi="Times New Roman" w:cs="Times New Roman"/>
        </w:rPr>
        <w:t xml:space="preserve">6 исков (из них 3 – в 2015 г.) на основании ст. 26 ДЭХ. Все они были поданы в арбитраж </w:t>
      </w:r>
      <w:proofErr w:type="spellStart"/>
      <w:r>
        <w:rPr>
          <w:rFonts w:ascii="Times New Roman" w:hAnsi="Times New Roman" w:cs="Times New Roman"/>
          <w:i/>
        </w:rPr>
        <w:t>ad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hoc</w:t>
      </w:r>
      <w:proofErr w:type="spellEnd"/>
      <w:r>
        <w:rPr>
          <w:rFonts w:ascii="Times New Roman" w:hAnsi="Times New Roman" w:cs="Times New Roman"/>
        </w:rPr>
        <w:t xml:space="preserve">, учрежденный </w:t>
      </w:r>
      <w:proofErr w:type="gramStart"/>
      <w:r>
        <w:rPr>
          <w:rFonts w:ascii="Times New Roman" w:hAnsi="Times New Roman" w:cs="Times New Roman"/>
        </w:rPr>
        <w:t>в соответствии с Арбитражным регламентов</w:t>
      </w:r>
      <w:proofErr w:type="gramEnd"/>
      <w:r>
        <w:rPr>
          <w:rFonts w:ascii="Times New Roman" w:hAnsi="Times New Roman" w:cs="Times New Roman"/>
        </w:rPr>
        <w:t xml:space="preserve"> Комиссии Организации Объединенных Наций по праву международной торговли (ЮНСИТРАЛ). Спор администрировала По</w:t>
      </w:r>
      <w:r>
        <w:rPr>
          <w:rFonts w:ascii="Times New Roman" w:hAnsi="Times New Roman" w:cs="Times New Roman"/>
        </w:rPr>
        <w:t xml:space="preserve">стоянная палата третейского суда (ППТС). Решения о юрисдикции и по существу вынесены только по 3 делам – по искам бывших акционеров «ЮКОСа». Остальные 3 дела также связаны с бывшими акционерами «ЮКОСа» (по данным сайта </w:t>
      </w:r>
      <w:proofErr w:type="spellStart"/>
      <w:r>
        <w:rPr>
          <w:rFonts w:ascii="Times New Roman" w:hAnsi="Times New Roman" w:cs="Times New Roman"/>
          <w:lang w:val="de-DE"/>
        </w:rPr>
        <w:t>iareporter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de-DE"/>
        </w:rPr>
        <w:t>com</w:t>
      </w:r>
      <w:proofErr w:type="spellEnd"/>
      <w:r>
        <w:rPr>
          <w:rFonts w:ascii="Times New Roman" w:hAnsi="Times New Roman" w:cs="Times New Roman"/>
        </w:rPr>
        <w:t>).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момент подачи иск</w:t>
      </w:r>
      <w:r>
        <w:rPr>
          <w:rFonts w:ascii="Times New Roman" w:hAnsi="Times New Roman" w:cs="Times New Roman"/>
        </w:rPr>
        <w:t xml:space="preserve">ов по этим 3 делам Российская Федерация временно применяла 32 международных договора. Более того, во время переговоров при разработке ДЭХ в 1994 г.), при обсуждении проекта ратификации ДЭХ в Государственной Думе ФС РФ и в других случаях Россия утверждала, </w:t>
      </w:r>
      <w:r>
        <w:rPr>
          <w:rFonts w:ascii="Times New Roman" w:hAnsi="Times New Roman" w:cs="Times New Roman"/>
        </w:rPr>
        <w:t>что принцип временного применения и положения ДЭХ в отношении временного применения не противоречат ее законодательству.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в арбитраже Россия заявила, что имеет право руководствоваться положением о несоответствии положений ДЭХ российской Конституции, </w:t>
      </w:r>
      <w:r>
        <w:rPr>
          <w:rFonts w:ascii="Times New Roman" w:hAnsi="Times New Roman" w:cs="Times New Roman"/>
        </w:rPr>
        <w:t>законам или нормативным актам (ст. 45 (1) ДЭХ) независимо от того, сделала ли РФ такое заявление в соответствии со ст. 45 (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>а) ДЭХ. Ст. 45 (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>а) отдельно («Независимо от пункта (1)») предоставляет любой подписавшей стороне право («может», а не «обязана»</w:t>
      </w:r>
      <w:r>
        <w:rPr>
          <w:rFonts w:ascii="Times New Roman" w:hAnsi="Times New Roman" w:cs="Times New Roman"/>
        </w:rPr>
        <w:t>) при подписании сделать депозитарию заявление о том, что она не согласна с временным применением. Таким образом, по мнению нашей страны, положения ст. 45 (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 xml:space="preserve">А) ДЭХ не являются принудительным механизмом для подписавших ДЭХ сторон, и таким государствам не </w:t>
      </w:r>
      <w:r>
        <w:rPr>
          <w:rFonts w:ascii="Times New Roman" w:hAnsi="Times New Roman" w:cs="Times New Roman"/>
        </w:rPr>
        <w:t xml:space="preserve">нужно делать предусмотренного этим пунктом заявления для того, чтобы ссылаться на положение о несоответствии ДЭХ национальному законодательству (ст. 45 (1)). Этот вывод подтверждается не только формулировкой статьи («независимо от </w:t>
      </w:r>
      <w:r>
        <w:rPr>
          <w:rFonts w:ascii="Times New Roman" w:hAnsi="Times New Roman" w:cs="Times New Roman"/>
        </w:rPr>
        <w:lastRenderedPageBreak/>
        <w:t>пункта (1)», «может» и т.</w:t>
      </w:r>
      <w:r>
        <w:rPr>
          <w:rFonts w:ascii="Times New Roman" w:hAnsi="Times New Roman" w:cs="Times New Roman"/>
        </w:rPr>
        <w:t>д.), но и «подготовительными материалами» (по смыслу ст. 32 Венской Конвенции о ПМД; франц.: «</w:t>
      </w:r>
      <w:proofErr w:type="spellStart"/>
      <w:r>
        <w:rPr>
          <w:rFonts w:ascii="Times New Roman" w:hAnsi="Times New Roman" w:cs="Times New Roman"/>
          <w:lang w:val="en-US"/>
        </w:rPr>
        <w:t>travaux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</w:t>
      </w:r>
      <w:proofErr w:type="spellEnd"/>
      <w:r>
        <w:rPr>
          <w:rFonts w:ascii="Times New Roman" w:hAnsi="Times New Roman" w:cs="Times New Roman"/>
        </w:rPr>
        <w:t>é</w:t>
      </w:r>
      <w:proofErr w:type="spellStart"/>
      <w:r>
        <w:rPr>
          <w:rFonts w:ascii="Times New Roman" w:hAnsi="Times New Roman" w:cs="Times New Roman"/>
          <w:lang w:val="en-US"/>
        </w:rPr>
        <w:t>paratoires</w:t>
      </w:r>
      <w:proofErr w:type="spellEnd"/>
      <w:r>
        <w:rPr>
          <w:rFonts w:ascii="Times New Roman" w:hAnsi="Times New Roman" w:cs="Times New Roman"/>
        </w:rPr>
        <w:t xml:space="preserve">») к ДЭХ. Тем самым, по мнению России, положения ст. 45 (1) ДЭХ являются </w:t>
      </w:r>
      <w:proofErr w:type="spellStart"/>
      <w:r>
        <w:rPr>
          <w:rFonts w:ascii="Times New Roman" w:hAnsi="Times New Roman" w:cs="Times New Roman"/>
        </w:rPr>
        <w:t>самоисполнимыми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мнению истцов, российское право в данном случае</w:t>
      </w:r>
      <w:r>
        <w:rPr>
          <w:rFonts w:ascii="Times New Roman" w:hAnsi="Times New Roman" w:cs="Times New Roman"/>
        </w:rPr>
        <w:t xml:space="preserve"> не применимо, потому что исковые требования истцов основаны на гарантиях, предоставляемых международным договором, а не национальным правом, поэтому любое арбитражное разбирательством между инвестором и государством, принимающим инвестиции, является автон</w:t>
      </w:r>
      <w:r>
        <w:rPr>
          <w:rFonts w:ascii="Times New Roman" w:hAnsi="Times New Roman" w:cs="Times New Roman"/>
        </w:rPr>
        <w:t>омным и независимым от разбирательств в национальных судах этого государства. Однако Россия считала, что этот довод истцов аннулировал бы действие и необходимость наличия положения ст. 45 (1) ДЭХ. Этот довод основан на фундаментальном непонимании монистиче</w:t>
      </w:r>
      <w:r>
        <w:rPr>
          <w:rFonts w:ascii="Times New Roman" w:hAnsi="Times New Roman" w:cs="Times New Roman"/>
        </w:rPr>
        <w:t>ской природы российской правовой системы. Если следовать логике истцов, то между положениями международного договора и национального права государства, принимающего инвестиции, в принципе не может быть противоречий, так как они представляют собой не пересе</w:t>
      </w:r>
      <w:r>
        <w:rPr>
          <w:rFonts w:ascii="Times New Roman" w:hAnsi="Times New Roman" w:cs="Times New Roman"/>
        </w:rPr>
        <w:t>кающиеся правовые массивы. Этот аргумент, по мнению российской стороны, основан на экстремально дуалистическом понимании систем национального и международного права, которое не применимо к России.</w:t>
      </w:r>
    </w:p>
    <w:p w:rsidR="00804F8D" w:rsidRDefault="00D754A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согласно российскому праву споры, возникающие в связи</w:t>
      </w:r>
      <w:r>
        <w:rPr>
          <w:rFonts w:ascii="Times New Roman" w:hAnsi="Times New Roman" w:cs="Times New Roman"/>
        </w:rPr>
        <w:t xml:space="preserve"> с суверенными действиями или бездействием государства (включая требования возмещения ущерба от экспроприации), не могут быть предметом арбитражного разбирательства без нормативной базы в виде закона или ратифицированного международного договора. Споры о з</w:t>
      </w:r>
      <w:r>
        <w:rPr>
          <w:rFonts w:ascii="Times New Roman" w:hAnsi="Times New Roman" w:cs="Times New Roman"/>
        </w:rPr>
        <w:t>аконности экспроприации, налоговых мерах, банкротстве и других вопросах нормативного регулирования подсудны исключительно российским судам и не могут быть переданы на рассмотрение в арбитраж в соответствии с ГПК и АПК РФ. Исковые требования истцов о возмещ</w:t>
      </w:r>
      <w:r>
        <w:rPr>
          <w:rFonts w:ascii="Times New Roman" w:hAnsi="Times New Roman" w:cs="Times New Roman"/>
        </w:rPr>
        <w:t>ении ущерба от предположительно незаконных суверенных действиях российских властей, таким образом, не могут быть предметом разбирательства в международном коммерческим (инвестиционным) арбитраже, если только положения законодательства не предусматривают ин</w:t>
      </w:r>
      <w:r>
        <w:rPr>
          <w:rFonts w:ascii="Times New Roman" w:hAnsi="Times New Roman" w:cs="Times New Roman"/>
        </w:rPr>
        <w:t xml:space="preserve">ого (поскольку Россия не ратифицировала ДЭХ, он не является таким «законодательством»), а положения ст. 26 ДЭХ противоречат </w:t>
      </w:r>
      <w:proofErr w:type="gramStart"/>
      <w:r>
        <w:rPr>
          <w:rFonts w:ascii="Times New Roman" w:hAnsi="Times New Roman" w:cs="Times New Roman"/>
        </w:rPr>
        <w:t>Конституции  и</w:t>
      </w:r>
      <w:proofErr w:type="gramEnd"/>
      <w:r>
        <w:rPr>
          <w:rFonts w:ascii="Times New Roman" w:hAnsi="Times New Roman" w:cs="Times New Roman"/>
        </w:rPr>
        <w:t xml:space="preserve"> законодательству РФ. 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ДЭХ также противоречит другим положениям российского законодательства, а именно – требованию о </w:t>
      </w:r>
      <w:r>
        <w:rPr>
          <w:rFonts w:ascii="Times New Roman" w:hAnsi="Times New Roman" w:cs="Times New Roman"/>
        </w:rPr>
        <w:t>согласии сторон о передаче спора на рассмотрение в арбитраж, если только ратифицированный международный договор (например, ратифицированный двусторонний инвестиционный договор) не предусматривает иного. Это следует из экспертного мнения профессора А.А. Кос</w:t>
      </w:r>
      <w:r>
        <w:rPr>
          <w:rFonts w:ascii="Times New Roman" w:hAnsi="Times New Roman" w:cs="Times New Roman"/>
        </w:rPr>
        <w:t>тина. Поэтому положения ст. 26 ДЭХ противоречат законодательству РФ и в этом аспекте.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Российское право не позволяет акционерам российского ОАО, которыми являются истцы, основывать свои исковые требования на ущербе, понесенном компанией, ее руководством или ее дочерними компаниями. Профессор Е.А. Суханов в своем экспертном мнении подтвердил </w:t>
      </w:r>
      <w:r>
        <w:rPr>
          <w:rFonts w:ascii="Times New Roman" w:hAnsi="Times New Roman" w:cs="Times New Roman"/>
        </w:rPr>
        <w:t xml:space="preserve">данное положение. 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Арбитраж проанализировал доводы сторон и поставил на этой основе следующие вопросы: предоставляет ли временное применение Россией ДЭХ (как оно определено в ст. 45 ДЭХ) основу для компетенции (юрисдикции) арбитража по рассмотрению спора </w:t>
      </w:r>
      <w:r>
        <w:rPr>
          <w:rFonts w:ascii="Times New Roman" w:hAnsi="Times New Roman" w:cs="Times New Roman"/>
        </w:rPr>
        <w:t xml:space="preserve">по существу? </w:t>
      </w:r>
      <w:proofErr w:type="gramStart"/>
      <w:r>
        <w:rPr>
          <w:rFonts w:ascii="Times New Roman" w:hAnsi="Times New Roman" w:cs="Times New Roman"/>
        </w:rPr>
        <w:t>В частности</w:t>
      </w:r>
      <w:proofErr w:type="gramEnd"/>
      <w:r>
        <w:rPr>
          <w:rFonts w:ascii="Times New Roman" w:hAnsi="Times New Roman" w:cs="Times New Roman"/>
        </w:rPr>
        <w:t>:</w:t>
      </w:r>
    </w:p>
    <w:p w:rsidR="00804F8D" w:rsidRDefault="00D754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Необходимо ли заявление России в соответствии со ст. 45 (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>а) ДЭХ?</w:t>
      </w:r>
    </w:p>
    <w:p w:rsidR="00804F8D" w:rsidRDefault="00D754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Необходимо ли заявление России в соответствии со ст. 45 (1) ДЭХ?</w:t>
      </w:r>
    </w:p>
    <w:p w:rsidR="00804F8D" w:rsidRDefault="00D754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С)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Какое значение имеет фраза «в той степени» в ст. 45 (1) ДЭХ в отношении к РФ?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ответа</w:t>
      </w:r>
      <w:r>
        <w:rPr>
          <w:rFonts w:ascii="Times New Roman" w:hAnsi="Times New Roman" w:cs="Times New Roman"/>
        </w:rPr>
        <w:t xml:space="preserve"> на эти вопросы арбитраж применил положения о толковании международных договоров – ст. 31 (Общее правило толкования) и 32 (Дополнительные средства толкования) Венской конвенции о праве международных договоров 1969 г. Арбитраж согласился с толкованием полож</w:t>
      </w:r>
      <w:r>
        <w:rPr>
          <w:rFonts w:ascii="Times New Roman" w:hAnsi="Times New Roman" w:cs="Times New Roman"/>
        </w:rPr>
        <w:t>ений ст. 45 (1) и (2) ДЭХ, представленным Россией: ст. 45 (1) хотя и создает обязательство подписавших сторон применять ДЭХ на временной основе, однако ограничивает объем этого обязательства ограничительной оговоркой, начиная со слов «в той степени». Ничто</w:t>
      </w:r>
      <w:r>
        <w:rPr>
          <w:rFonts w:ascii="Times New Roman" w:hAnsi="Times New Roman" w:cs="Times New Roman"/>
        </w:rPr>
        <w:t xml:space="preserve"> в формулировке ст. 45 (1) не ставит ее в зависимость от обязательного заявления о несогласии с временным применением, предусмотренного в ст. 45 (2). Напротив, использование слова «может», а не «должна», в отношении такого заявления свидетельствует о реком</w:t>
      </w:r>
      <w:r>
        <w:rPr>
          <w:rFonts w:ascii="Times New Roman" w:hAnsi="Times New Roman" w:cs="Times New Roman"/>
        </w:rPr>
        <w:t>ендательном, а не обязательном характере такого заявления. Этот вывод подкрепляется также формулировкой «независимо от пункта (1)». Таким образом, обычное значение терминов, употребленных в ст. 45 (1) и (2) позволяет сделать вывод, что применение ст. 45 (1</w:t>
      </w:r>
      <w:r>
        <w:rPr>
          <w:rFonts w:ascii="Times New Roman" w:hAnsi="Times New Roman" w:cs="Times New Roman"/>
        </w:rPr>
        <w:t xml:space="preserve">) не находится в зависимости от того, сделала ли подписавшая сторона заявление согласно ст. 45 (2) или нет. 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ли заявление в соответствии со ст. 45 (1) ДЭХ? – Необходимо различать то, что участники переговоров по заключению ДЭХ считали желательны</w:t>
      </w:r>
      <w:r>
        <w:rPr>
          <w:rFonts w:ascii="Times New Roman" w:hAnsi="Times New Roman" w:cs="Times New Roman"/>
        </w:rPr>
        <w:t>м, и то, что в конечном счете было зафиксировано в положениях ДЭХ. Те государства (Швейцария, Австрия, Венгрия, Япония, Норвегия и Румыния), которые еще на переговорном этапе высказали свои опасения относительно невозможности временного применения ДЭХ, пос</w:t>
      </w:r>
      <w:r>
        <w:rPr>
          <w:rFonts w:ascii="Times New Roman" w:hAnsi="Times New Roman" w:cs="Times New Roman"/>
        </w:rPr>
        <w:t xml:space="preserve">ле его подписания все же сделали соответствующие заявления в той или иной форме. Тем не менее, арбитраж счел, что РФ имеет право заявлять о несоответствии ДЭХ ее национальному праву, чтобы избежать применения Части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ДЭХ.</w:t>
      </w:r>
    </w:p>
    <w:p w:rsidR="00804F8D" w:rsidRDefault="00D754A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Истцы также ссылались на </w:t>
      </w:r>
      <w:proofErr w:type="spellStart"/>
      <w:r>
        <w:rPr>
          <w:rFonts w:ascii="Times New Roman" w:hAnsi="Times New Roman" w:cs="Times New Roman"/>
        </w:rPr>
        <w:t>эстоппель</w:t>
      </w:r>
      <w:proofErr w:type="spellEnd"/>
      <w:r>
        <w:rPr>
          <w:rFonts w:ascii="Times New Roman" w:hAnsi="Times New Roman" w:cs="Times New Roman"/>
        </w:rPr>
        <w:t xml:space="preserve"> как аргумент в пользу того, что РФ не может руководствоваться ограничительной оговоркой (ст. 45(1) ДЭХ) в данном случае, так как она в ходе переговоров при разработке и принятии ДЭХ, а также в последующем не возражала против временного применения Договора</w:t>
      </w:r>
      <w:r>
        <w:rPr>
          <w:rFonts w:ascii="Times New Roman" w:hAnsi="Times New Roman" w:cs="Times New Roman"/>
        </w:rPr>
        <w:t xml:space="preserve">. Однако арбитраж пришел к выводу, что критерии для применения принципа </w:t>
      </w:r>
      <w:proofErr w:type="spellStart"/>
      <w:r>
        <w:rPr>
          <w:rFonts w:ascii="Times New Roman" w:hAnsi="Times New Roman" w:cs="Times New Roman"/>
        </w:rPr>
        <w:t>эстоппеля</w:t>
      </w:r>
      <w:proofErr w:type="spellEnd"/>
      <w:r>
        <w:rPr>
          <w:rFonts w:ascii="Times New Roman" w:hAnsi="Times New Roman" w:cs="Times New Roman"/>
        </w:rPr>
        <w:t xml:space="preserve"> (установлены Международным Судом ООН в деле о континентальном шельфе Северного моря) в данном случае не соблюдены, а «простой поддержки» Россией идеи о временном применении Д</w:t>
      </w:r>
      <w:r>
        <w:rPr>
          <w:rFonts w:ascii="Times New Roman" w:hAnsi="Times New Roman" w:cs="Times New Roman"/>
        </w:rPr>
        <w:t xml:space="preserve">ЭХ во время переговоров недостаточно.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значение имеет фраза «в той степени» в ст. 45 (1) ДЭХ в отношении к РФ? – При ответе на этот вопрос речь идет о борьбе 2 подходов: «всё или ничего» (истцы) против «частичного» подхода (Россия). Итак, ранее арбит</w:t>
      </w:r>
      <w:r>
        <w:rPr>
          <w:rFonts w:ascii="Times New Roman" w:hAnsi="Times New Roman" w:cs="Times New Roman"/>
        </w:rPr>
        <w:t xml:space="preserve">раж уже пришел к выводу, что РФ могла опираться на ограничительную оговорку ст. 45 (1), даже не сделав заявление, предусмотренного ст. 45 (2) и не предоставив предварительного уведомления в соответствии со ст. 45 (1) ДЭХ. Поэтому арбитражу необходимо было </w:t>
      </w:r>
      <w:r>
        <w:rPr>
          <w:rFonts w:ascii="Times New Roman" w:hAnsi="Times New Roman" w:cs="Times New Roman"/>
        </w:rPr>
        <w:t>определить, какое значение имеет ограничительная оговорка. Позиции сторон по данному вопросу разнятся: РФ придерживается «частичного» подхода (англ.: “</w:t>
      </w:r>
      <w:r>
        <w:rPr>
          <w:rFonts w:ascii="Times New Roman" w:hAnsi="Times New Roman" w:cs="Times New Roman"/>
          <w:lang w:val="en-US"/>
        </w:rPr>
        <w:t>piecemeal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lang w:val="en-US"/>
        </w:rPr>
        <w:t>approach</w:t>
      </w:r>
      <w:r>
        <w:rPr>
          <w:rFonts w:ascii="Times New Roman" w:hAnsi="Times New Roman" w:cs="Times New Roman"/>
        </w:rPr>
        <w:t>): каждого положения ДЭХ в отдельности должно быть оценено на соответствие Конституции</w:t>
      </w:r>
      <w:r>
        <w:rPr>
          <w:rFonts w:ascii="Times New Roman" w:hAnsi="Times New Roman" w:cs="Times New Roman"/>
        </w:rPr>
        <w:t xml:space="preserve"> РФ, ее законам и нормативным актам. По мнению же истцов, ДЭХ должен применяться на основании подхода «всё или ничего»: необходимо определить, является ли принцип временного применения сам по себе несоответствующим Конституции и законодательству РФ.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Арбитр</w:t>
      </w:r>
      <w:r>
        <w:rPr>
          <w:rFonts w:ascii="Times New Roman" w:hAnsi="Times New Roman" w:cs="Times New Roman"/>
        </w:rPr>
        <w:t>аж применил обычное значение терминов ДЭХ, но оценил их в свете объекта и цели этого договора (т.е. воспользовался общим правилом толкования по Венской конвенции 1969 г.): верной является позиция истцов. РФ, подписав ДЭХ, выразила согласие на то, что догов</w:t>
      </w:r>
      <w:r>
        <w:rPr>
          <w:rFonts w:ascii="Times New Roman" w:hAnsi="Times New Roman" w:cs="Times New Roman"/>
        </w:rPr>
        <w:t>ор в целом будет временно применяться до его вступления в силу, если только сам принцип временного применения не противоречит ее Конституции и законодательству. С точки зрения арбитража, фраза в ст. 45 (1) «такое временное применение» означает применение «</w:t>
      </w:r>
      <w:r>
        <w:rPr>
          <w:rFonts w:ascii="Times New Roman" w:hAnsi="Times New Roman" w:cs="Times New Roman"/>
        </w:rPr>
        <w:t>настоящего Договора». Таким образом, ст. 45 (1) нужно читать следующим образом: «Каждая подписавшая сторона соглашается временно применять настоящий Договор впредь до его вступления в силу для такой подписавшей стороны в соответствии со ст. 44, в той степе</w:t>
      </w:r>
      <w:r>
        <w:rPr>
          <w:rFonts w:ascii="Times New Roman" w:hAnsi="Times New Roman" w:cs="Times New Roman"/>
        </w:rPr>
        <w:t xml:space="preserve">ни, в которой </w:t>
      </w:r>
      <w:r>
        <w:rPr>
          <w:rFonts w:ascii="Times New Roman" w:hAnsi="Times New Roman" w:cs="Times New Roman"/>
          <w:b/>
        </w:rPr>
        <w:t>временное применение настоящего Договора</w:t>
      </w:r>
      <w:r>
        <w:rPr>
          <w:rFonts w:ascii="Times New Roman" w:hAnsi="Times New Roman" w:cs="Times New Roman"/>
        </w:rPr>
        <w:t xml:space="preserve"> не противоречит ее конституции, законам или нормативным актам».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арбитраж исследовал объем словосочетания «временное применение настоящего Договора». В соответствии с обычным значением, придаваем</w:t>
      </w:r>
      <w:r>
        <w:rPr>
          <w:rFonts w:ascii="Times New Roman" w:hAnsi="Times New Roman" w:cs="Times New Roman"/>
        </w:rPr>
        <w:t>ым терминам в контексте договора, «временное применение настоящего Договора» означает временное применение всего договора в целом, а не отдельных его частей. В обоснование своего мнения арбитраж сослался на ст. 45 (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>с): любая подписавшая сторона, делающа</w:t>
      </w:r>
      <w:r>
        <w:rPr>
          <w:rFonts w:ascii="Times New Roman" w:hAnsi="Times New Roman" w:cs="Times New Roman"/>
        </w:rPr>
        <w:t xml:space="preserve">я заявление, упомянутое в подпункте (а), временно применяет Часть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до вступления Договора в силу для такой подписавшей стороны в соответствии со Статьей 44, в той степени, в которой такое временное применение не противоречит ее законам или нормативным а</w:t>
      </w:r>
      <w:r>
        <w:rPr>
          <w:rFonts w:ascii="Times New Roman" w:hAnsi="Times New Roman" w:cs="Times New Roman"/>
        </w:rPr>
        <w:t>ктам. То есть, по мнению арбитража, если бы фраза “временное применение настоящего Договора” касалась бы только его части, это было бы прямо указано в тексте Договора. Следовательно, нет оснований сделать вывод о том, что подписавшие стороны предполагали б</w:t>
      </w:r>
      <w:r>
        <w:rPr>
          <w:rFonts w:ascii="Times New Roman" w:hAnsi="Times New Roman" w:cs="Times New Roman"/>
        </w:rPr>
        <w:t xml:space="preserve">ы временное применения только части ДЭХ, не написав об этом в тексте договора. Поэтому арбитраж согласился с подходом «всё или ничего».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Совместим ли принцип временного применения с российским законодательством? Стороны не имели серьезных противоречий отно</w:t>
      </w:r>
      <w:r>
        <w:rPr>
          <w:rFonts w:ascii="Times New Roman" w:hAnsi="Times New Roman" w:cs="Times New Roman"/>
        </w:rPr>
        <w:t>сительно того, соответствует ли принцип временного применения законодательству РФ. Однако истцы на основании временного применения Россией ДЭХ заявляли, что для РФ не действует ограничительная оговорка ст. 45 (1). РФ, в свою очередь, приводила ограничитель</w:t>
      </w:r>
      <w:r>
        <w:rPr>
          <w:rFonts w:ascii="Times New Roman" w:hAnsi="Times New Roman" w:cs="Times New Roman"/>
        </w:rPr>
        <w:t>ную оговорку в доказательство того, что ДЭХ временно применялся Россией только в пределах, не противоречащих Конституции и законодательству РФ. Хотя данный вопрос и не вызвал серьезных разногласий, арбитраж подтвердил позицию истцов по данному вопросу, оце</w:t>
      </w:r>
      <w:r>
        <w:rPr>
          <w:rFonts w:ascii="Times New Roman" w:hAnsi="Times New Roman" w:cs="Times New Roman"/>
        </w:rPr>
        <w:t xml:space="preserve">нив институт временного применения как в СССР, так и в России.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мнению эксперта со стороны истцов Владимира Гладышева, ч. 4 ст. 15 Конституции РФ дает приоритет всем международным договорам РФ над национальным правом, независимо от того, ратифицир</w:t>
      </w:r>
      <w:r>
        <w:rPr>
          <w:rFonts w:ascii="Times New Roman" w:hAnsi="Times New Roman" w:cs="Times New Roman"/>
        </w:rPr>
        <w:t>ованы такие договоры или стороны договорились о временном применении международного договора (как в случае с ДЭХ).  Таким образом, временное применение ДЭХ в целом не противоречило Конституции РФ, ее законам и нормативным актам и осуществлялось Россией впл</w:t>
      </w:r>
      <w:r>
        <w:rPr>
          <w:rFonts w:ascii="Times New Roman" w:hAnsi="Times New Roman" w:cs="Times New Roman"/>
        </w:rPr>
        <w:t xml:space="preserve">оть до 2009 г., когда вступило в силу уведомление РФ (в соответствии со ст. 45 (3) ДЭХ) Депозитарию о намерении не становиться Договаривающейся Стороной.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арбитраж пришел к выводу, что временное применение Россией ДЭХ (включая положения ст. </w:t>
      </w:r>
      <w:r>
        <w:rPr>
          <w:rFonts w:ascii="Times New Roman" w:hAnsi="Times New Roman" w:cs="Times New Roman"/>
        </w:rPr>
        <w:t xml:space="preserve">26) обосновывают компетенцию (юрисдикцию) арбитража относительно существа дела.  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Наконец, арбитражу было важно разобраться в вопросе, совместимы ли положения ДЭХ о разрешении споров с законодательством РФ. По мнению арбитража, ст. 26 ДЭХ (Разрешение споро</w:t>
      </w:r>
      <w:r>
        <w:rPr>
          <w:rFonts w:ascii="Times New Roman" w:hAnsi="Times New Roman" w:cs="Times New Roman"/>
        </w:rPr>
        <w:t xml:space="preserve">в между инвестором и договаривающейся стороной) не противоречит законодательству РФ. Более того, положения Закона об иностранных инвестициях (как в редакции 1991 г., так и в редакции 1999 г.) прямо предусматривают </w:t>
      </w:r>
      <w:proofErr w:type="spellStart"/>
      <w:r>
        <w:rPr>
          <w:rFonts w:ascii="Times New Roman" w:hAnsi="Times New Roman" w:cs="Times New Roman"/>
        </w:rPr>
        <w:t>арбитрабельность</w:t>
      </w:r>
      <w:proofErr w:type="spellEnd"/>
      <w:r>
        <w:rPr>
          <w:rFonts w:ascii="Times New Roman" w:hAnsi="Times New Roman" w:cs="Times New Roman"/>
        </w:rPr>
        <w:t xml:space="preserve"> споров между инвестором и</w:t>
      </w:r>
      <w:r>
        <w:rPr>
          <w:rFonts w:ascii="Times New Roman" w:hAnsi="Times New Roman" w:cs="Times New Roman"/>
        </w:rPr>
        <w:t xml:space="preserve"> государством, принимающим инвестиции: ст. 10 ФЗ 1999 г. говорит, что спор иностранного инвестора, возникший в связи с осуществлением инвестиций и предпринимательской деятельности на территории Российской Федерации, разрешается в соответствии с международн</w:t>
      </w:r>
      <w:r>
        <w:rPr>
          <w:rFonts w:ascii="Times New Roman" w:hAnsi="Times New Roman" w:cs="Times New Roman"/>
        </w:rPr>
        <w:t>ыми договорами Российской Федерации и федеральными законами в суде или арбитражном суде либо в международном арбитраже (третейском суде). Таким образом, с учетом выше описанных выводов арбитража, ст. 26, как и другие положения ДЭХ, временно применяются в Р</w:t>
      </w:r>
      <w:r>
        <w:rPr>
          <w:rFonts w:ascii="Times New Roman" w:hAnsi="Times New Roman" w:cs="Times New Roman"/>
        </w:rPr>
        <w:t>Ф, и РФ тем самым выразила согласие на передачу споров в международный арбитраж.</w:t>
      </w:r>
    </w:p>
    <w:p w:rsidR="00804F8D" w:rsidRDefault="00D754AD">
      <w:pPr>
        <w:pStyle w:val="a3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арбитраж пришёл к следующим выводам: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Режимы временного применения ДЭХ, описанные в ст. 45 (1) и 45 (2) (а) соответственно, являются двумя разными режимами. Росс</w:t>
      </w:r>
      <w:r>
        <w:rPr>
          <w:rFonts w:ascii="Times New Roman" w:hAnsi="Times New Roman" w:cs="Times New Roman"/>
        </w:rPr>
        <w:t>ийская Федерация может воспользоваться ограничительной оговоркой ст. 45 (1), хотя она и не сделала заявления, предусмотренного ст. 45 (2) (а).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Российская Федерация может применять ограничительную оговорку ст. 45 (1), хотя она и не сделала предварительного </w:t>
      </w:r>
      <w:r>
        <w:rPr>
          <w:rFonts w:ascii="Times New Roman" w:hAnsi="Times New Roman" w:cs="Times New Roman"/>
        </w:rPr>
        <w:t>заявления и не подала предварительного уведомления другим государствам – участникам ДЭХ относительно ее намерения опираться на ст. 45 (1), чтобы исключить временное применение ДЭХ;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ограничительная оговорка ст. 45 (1) ДЭХ отвергает временное применен</w:t>
      </w:r>
      <w:r>
        <w:rPr>
          <w:rFonts w:ascii="Times New Roman" w:hAnsi="Times New Roman" w:cs="Times New Roman"/>
        </w:rPr>
        <w:t>ие ДЭХ только в том случае, если принцип временного применения как таковой противоречит Конституции, законам и нормативным актам РФ; арбитраж установил, что временное применение (как ДЭХ, так и любого другого международного договора) не только не противоре</w:t>
      </w:r>
      <w:r>
        <w:rPr>
          <w:rFonts w:ascii="Times New Roman" w:hAnsi="Times New Roman" w:cs="Times New Roman"/>
        </w:rPr>
        <w:t>чит Конституции, законам и нормативным актам РФ, но и прямо предусмотрено таковыми: РФ имеет традицию временного применения международных договоров, корнями уходящую еще во времена СССР.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ДЭХ полностью временно применялся в РФ до 19 октября 2009 г.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ДЭХ (включая ст. 26) остаются в силе для РФ до 19 октября 2029 г. в отношении всех инвестиций, произведенных до 19 октября 2009 г.  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как государство-ответчик связана положением об арбитраже между инвестором и государством, принимающим инвестиц</w:t>
      </w:r>
      <w:r>
        <w:rPr>
          <w:rFonts w:ascii="Times New Roman" w:hAnsi="Times New Roman" w:cs="Times New Roman"/>
        </w:rPr>
        <w:t xml:space="preserve">ии. 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ст. 26, 1 (6) и 1 (7) ДЭХ не противоречат Конституции РФ, ее законам и нормативным актам. </w:t>
      </w:r>
    </w:p>
    <w:p w:rsidR="00804F8D" w:rsidRDefault="00D754AD">
      <w:pPr>
        <w:pStyle w:val="a3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сказанного арбитраж обладает юрисдикцией относительно существа спора.</w:t>
      </w:r>
    </w:p>
    <w:sectPr w:rsidR="00804F8D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D" w:rsidRDefault="00D754AD">
      <w:r>
        <w:separator/>
      </w:r>
    </w:p>
  </w:endnote>
  <w:endnote w:type="continuationSeparator" w:id="0">
    <w:p w:rsidR="00804F8D" w:rsidRDefault="00D7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964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F8D" w:rsidRDefault="00D754AD">
        <w:pPr>
          <w:pStyle w:val="a7"/>
          <w:jc w:val="right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04F8D" w:rsidRDefault="00804F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D" w:rsidRDefault="00D754AD">
      <w:r>
        <w:separator/>
      </w:r>
    </w:p>
  </w:footnote>
  <w:footnote w:type="continuationSeparator" w:id="0">
    <w:p w:rsidR="00804F8D" w:rsidRDefault="00D754AD">
      <w:r>
        <w:continuationSeparator/>
      </w:r>
    </w:p>
  </w:footnote>
  <w:footnote w:id="1">
    <w:p w:rsidR="00804F8D" w:rsidRDefault="00D754A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Временное применение международных договоров: практика государств // «Журнал российского права», 2013 г., № 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F3CF0"/>
    <w:multiLevelType w:val="hybridMultilevel"/>
    <w:tmpl w:val="23F8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F65"/>
    <w:multiLevelType w:val="hybridMultilevel"/>
    <w:tmpl w:val="457292A2"/>
    <w:lvl w:ilvl="0" w:tplc="EEA007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173"/>
    <w:multiLevelType w:val="hybridMultilevel"/>
    <w:tmpl w:val="33F6DF7C"/>
    <w:lvl w:ilvl="0" w:tplc="F6BACFCA">
      <w:start w:val="1"/>
      <w:numFmt w:val="decimal"/>
      <w:lvlText w:val="%1)"/>
      <w:lvlJc w:val="left"/>
      <w:pPr>
        <w:ind w:left="1808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7B5963"/>
    <w:multiLevelType w:val="hybridMultilevel"/>
    <w:tmpl w:val="2108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0CB5"/>
    <w:multiLevelType w:val="hybridMultilevel"/>
    <w:tmpl w:val="41641BBA"/>
    <w:lvl w:ilvl="0" w:tplc="EEA007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407BB"/>
    <w:multiLevelType w:val="hybridMultilevel"/>
    <w:tmpl w:val="8414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22C"/>
    <w:multiLevelType w:val="hybridMultilevel"/>
    <w:tmpl w:val="15744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52BE"/>
    <w:multiLevelType w:val="hybridMultilevel"/>
    <w:tmpl w:val="A210E04C"/>
    <w:lvl w:ilvl="0" w:tplc="EEA007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40101"/>
    <w:multiLevelType w:val="hybridMultilevel"/>
    <w:tmpl w:val="1A4C3262"/>
    <w:lvl w:ilvl="0" w:tplc="0C28E05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107E5B"/>
    <w:multiLevelType w:val="hybridMultilevel"/>
    <w:tmpl w:val="4D9C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A1223"/>
    <w:multiLevelType w:val="hybridMultilevel"/>
    <w:tmpl w:val="23F8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44859"/>
    <w:multiLevelType w:val="hybridMultilevel"/>
    <w:tmpl w:val="0494ED74"/>
    <w:lvl w:ilvl="0" w:tplc="8ECA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8D"/>
    <w:rsid w:val="00804F8D"/>
    <w:rsid w:val="00D7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6D495D-5014-44EE-BF39-D4D16D83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footnote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E90A-A5FA-4C21-81D5-EADF0FE1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2898</Words>
  <Characters>16523</Characters>
  <Application>Microsoft Office Word</Application>
  <DocSecurity>0</DocSecurity>
  <Lines>137</Lines>
  <Paragraphs>38</Paragraphs>
  <ScaleCrop>false</ScaleCrop>
  <Company>
  </Company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WWW</cp:lastModifiedBy>
  <cp:revision>2</cp:revision>
  <dcterms:created xsi:type="dcterms:W3CDTF">2015-10-12T16:21:00Z</dcterms:created>
  <dcterms:modified xsi:type="dcterms:W3CDTF">2015-10-23T19:22:00Z</dcterms:modified>
  <cp:category/>
  <cp:version>0</cp:version>
</cp:coreProperties>
</file>